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eastAsia="zh-CN"/>
        </w:rPr>
        <w:t>蚌埠学院</w:t>
      </w: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十五</w:t>
      </w:r>
      <w:r>
        <w:rPr>
          <w:rFonts w:hint="eastAsia" w:ascii="仿宋" w:hAnsi="仿宋" w:eastAsia="仿宋" w:cs="仿宋"/>
          <w:sz w:val="32"/>
          <w:szCs w:val="32"/>
        </w:rPr>
        <w:t>届校园十佳歌手大赛评分标准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评分采用十分制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（一）音乐基础（2分）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参赛选手的音乐基础、音准、音质、音色等。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（二）艺术表现（2分）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参赛选手对音乐的表现力以及台风等。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（三）现场感染力(2分)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参赛选手快速反应能力和特殊情况下的应急、应变能力。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（四）参赛态度(2分)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参赛选手的化妆与服装反映出选手对待比赛的态度。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（五）综合印象(2分)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参赛选手在整个参赛过程中给予评委的总体印象。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020"/>
          <w:tab w:val="left" w:pos="7200"/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4411C"/>
    <w:rsid w:val="1254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2021-11-23T13:09:00Z</dcterms:created>
  <dc:creator>Arui</dc:creator>
  <cp:lastModifiedBy>Arui</cp:lastModifiedBy>
  <dcterms:modified xsi:type="dcterms:W3CDTF">2021-11-23T13:09:16Z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46E221D7178E48618D450AB37578F9AB</vt:lpwstr>
  </property>
</Properties>
</file>