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kern w:val="0"/>
          <w:sz w:val="32"/>
          <w:szCs w:val="32"/>
        </w:rPr>
      </w:pPr>
      <w:r>
        <w:rPr>
          <w:rFonts w:ascii="Times New Roman" w:hAnsi="Times New Roman" w:eastAsia="黑体"/>
          <w:kern w:val="0"/>
          <w:sz w:val="32"/>
          <w:szCs w:val="32"/>
        </w:rPr>
        <w:t>附件</w:t>
      </w:r>
    </w:p>
    <w:p>
      <w:pPr>
        <w:spacing w:line="560" w:lineRule="exact"/>
        <w:rPr>
          <w:rFonts w:ascii="Times New Roman" w:hAnsi="Times New Roman" w:eastAsia="方正小标宋简体"/>
          <w:color w:val="000000"/>
          <w:sz w:val="44"/>
          <w:szCs w:val="44"/>
        </w:rPr>
      </w:pPr>
    </w:p>
    <w:p>
      <w:pPr>
        <w:spacing w:line="560" w:lineRule="exact"/>
        <w:jc w:val="center"/>
        <w:rPr>
          <w:rFonts w:hint="eastAsia" w:ascii="方正小标宋_GBK" w:hAnsi="方正小标宋_GBK" w:eastAsia="方正小标宋_GBK" w:cs="方正小标宋_GBK"/>
          <w:color w:val="000000"/>
          <w:sz w:val="36"/>
          <w:szCs w:val="36"/>
        </w:rPr>
      </w:pPr>
      <w:bookmarkStart w:id="0" w:name="_GoBack"/>
      <w:r>
        <w:rPr>
          <w:rFonts w:hint="eastAsia" w:ascii="方正小标宋_GBK" w:hAnsi="方正小标宋_GBK" w:eastAsia="方正小标宋_GBK" w:cs="方正小标宋_GBK"/>
          <w:color w:val="000000"/>
          <w:sz w:val="36"/>
          <w:szCs w:val="36"/>
        </w:rPr>
        <w:t>蚌埠学院</w:t>
      </w:r>
      <w:r>
        <w:rPr>
          <w:rFonts w:hint="eastAsia" w:ascii="方正小标宋_GBK" w:hAnsi="方正小标宋_GBK" w:eastAsia="方正小标宋_GBK" w:cs="方正小标宋_GBK"/>
          <w:color w:val="000000"/>
          <w:sz w:val="36"/>
          <w:szCs w:val="36"/>
          <w:lang w:eastAsia="zh-CN"/>
        </w:rPr>
        <w:t>2018</w:t>
      </w:r>
      <w:r>
        <w:rPr>
          <w:rFonts w:hint="eastAsia" w:ascii="方正小标宋_GBK" w:hAnsi="方正小标宋_GBK" w:eastAsia="方正小标宋_GBK" w:cs="方正小标宋_GBK"/>
          <w:color w:val="000000"/>
          <w:sz w:val="36"/>
          <w:szCs w:val="36"/>
        </w:rPr>
        <w:t>年暑期社会实践活动</w:t>
      </w:r>
    </w:p>
    <w:p>
      <w:pPr>
        <w:spacing w:line="560" w:lineRule="exact"/>
        <w:jc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优秀调研报告格式要求</w:t>
      </w:r>
    </w:p>
    <w:bookmarkEnd w:id="0"/>
    <w:p>
      <w:pPr>
        <w:spacing w:line="560" w:lineRule="exact"/>
        <w:jc w:val="center"/>
        <w:rPr>
          <w:rFonts w:ascii="Times New Roman" w:hAnsi="Times New Roman" w:eastAsia="方正小标宋_GBK"/>
          <w:color w:val="000000"/>
          <w:sz w:val="44"/>
          <w:szCs w:val="44"/>
        </w:rPr>
      </w:pPr>
    </w:p>
    <w:p>
      <w:pPr>
        <w:spacing w:line="400" w:lineRule="exact"/>
        <w:rPr>
          <w:rFonts w:ascii="Times New Roman" w:hAnsi="Times New Roman" w:eastAsia="黑体"/>
          <w:sz w:val="32"/>
        </w:rPr>
      </w:pPr>
      <w:r>
        <w:rPr>
          <w:rFonts w:ascii="Times New Roman" w:hAnsi="Times New Roman" w:eastAsia="黑体"/>
          <w:sz w:val="32"/>
        </w:rPr>
        <w:t>　　一、内容</w:t>
      </w:r>
    </w:p>
    <w:p>
      <w:pPr>
        <w:spacing w:line="400" w:lineRule="exact"/>
        <w:ind w:firstLine="656" w:firstLineChars="205"/>
        <w:rPr>
          <w:rFonts w:ascii="Times New Roman" w:hAnsi="Times New Roman" w:eastAsia="仿宋_GB2312"/>
          <w:sz w:val="32"/>
        </w:rPr>
      </w:pPr>
      <w:r>
        <w:rPr>
          <w:rFonts w:ascii="Times New Roman" w:hAnsi="Times New Roman" w:eastAsia="仿宋_GB2312"/>
          <w:sz w:val="32"/>
        </w:rPr>
        <w:t>必须包含标题、摘要、关键词、指导教师、团队信息、正文六个部分；如有引用他人文章的还要加注参考文献，具体顺序如下：</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标题</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摘要</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关键词</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指导教师</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团队信息</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正文</w:t>
      </w:r>
    </w:p>
    <w:p>
      <w:pPr>
        <w:numPr>
          <w:ilvl w:val="0"/>
          <w:numId w:val="1"/>
        </w:numPr>
        <w:tabs>
          <w:tab w:val="left" w:pos="900"/>
        </w:tabs>
        <w:spacing w:line="400" w:lineRule="exact"/>
        <w:ind w:firstLine="360"/>
        <w:rPr>
          <w:rFonts w:ascii="Times New Roman" w:hAnsi="Times New Roman" w:eastAsia="仿宋_GB2312"/>
          <w:sz w:val="32"/>
        </w:rPr>
      </w:pPr>
      <w:r>
        <w:rPr>
          <w:rFonts w:ascii="Times New Roman" w:hAnsi="Times New Roman" w:eastAsia="仿宋_GB2312"/>
          <w:sz w:val="32"/>
        </w:rPr>
        <w:t>参考文献</w:t>
      </w:r>
    </w:p>
    <w:p>
      <w:pPr>
        <w:spacing w:line="400" w:lineRule="exact"/>
        <w:rPr>
          <w:rFonts w:ascii="Times New Roman" w:hAnsi="Times New Roman" w:eastAsia="黑体"/>
          <w:sz w:val="32"/>
        </w:rPr>
      </w:pPr>
      <w:r>
        <w:rPr>
          <w:rFonts w:ascii="Times New Roman" w:hAnsi="Times New Roman" w:eastAsia="仿宋_GB2312"/>
          <w:sz w:val="32"/>
        </w:rPr>
        <w:t>　　</w:t>
      </w:r>
      <w:r>
        <w:rPr>
          <w:rFonts w:ascii="Times New Roman" w:hAnsi="Times New Roman" w:eastAsia="黑体"/>
          <w:sz w:val="32"/>
        </w:rPr>
        <w:t>二、版式要求</w:t>
      </w:r>
    </w:p>
    <w:p>
      <w:pPr>
        <w:spacing w:line="400" w:lineRule="exact"/>
        <w:ind w:firstLine="659" w:firstLineChars="205"/>
        <w:rPr>
          <w:rFonts w:ascii="Times New Roman" w:hAnsi="Times New Roman" w:eastAsia="楷体_GB2312"/>
          <w:b/>
          <w:bCs/>
          <w:sz w:val="32"/>
        </w:rPr>
      </w:pPr>
      <w:r>
        <w:rPr>
          <w:rFonts w:ascii="Times New Roman" w:hAnsi="Times New Roman" w:eastAsia="楷体_GB2312"/>
          <w:b/>
          <w:bCs/>
          <w:sz w:val="32"/>
        </w:rPr>
        <w:t>（一）纸张：A4纸</w:t>
      </w:r>
    </w:p>
    <w:p>
      <w:pPr>
        <w:spacing w:line="400" w:lineRule="exact"/>
        <w:ind w:firstLine="659" w:firstLineChars="205"/>
        <w:rPr>
          <w:rFonts w:ascii="Times New Roman" w:hAnsi="Times New Roman" w:eastAsia="楷体_GB2312"/>
          <w:b/>
          <w:bCs/>
          <w:sz w:val="32"/>
        </w:rPr>
      </w:pPr>
      <w:r>
        <w:rPr>
          <w:rFonts w:ascii="Times New Roman" w:hAnsi="Times New Roman" w:eastAsia="楷体_GB2312"/>
          <w:b/>
          <w:bCs/>
          <w:sz w:val="32"/>
        </w:rPr>
        <w:t>（二）字号及字体：</w:t>
      </w:r>
    </w:p>
    <w:p>
      <w:pPr>
        <w:spacing w:line="400" w:lineRule="exact"/>
        <w:ind w:firstLine="656" w:firstLineChars="205"/>
        <w:rPr>
          <w:rFonts w:ascii="Times New Roman" w:hAnsi="Times New Roman" w:eastAsia="仿宋_GB2312"/>
          <w:sz w:val="32"/>
        </w:rPr>
      </w:pPr>
      <w:r>
        <w:rPr>
          <w:rFonts w:ascii="Times New Roman" w:hAnsi="Times New Roman" w:eastAsia="仿宋_GB2312"/>
          <w:sz w:val="32"/>
        </w:rPr>
        <w:t>标题部分用2号宋体字，加粗；摘要、关键词、指导教师和团队信息部分用小4号楷体字，摘要、关键词、指导教师和团队信息用黑体字；正文部分一级目录用小4号黑体，其他部分用小4号宋体字；引文用小4号宋体字。</w:t>
      </w:r>
    </w:p>
    <w:p>
      <w:pPr>
        <w:spacing w:line="400" w:lineRule="exact"/>
        <w:ind w:firstLine="659" w:firstLineChars="205"/>
        <w:rPr>
          <w:rFonts w:ascii="Times New Roman" w:hAnsi="Times New Roman" w:eastAsia="仿宋_GB2312"/>
          <w:sz w:val="32"/>
        </w:rPr>
      </w:pPr>
      <w:r>
        <w:rPr>
          <w:rFonts w:ascii="Times New Roman" w:hAnsi="Times New Roman" w:eastAsia="楷体_GB2312"/>
          <w:b/>
          <w:bCs/>
          <w:sz w:val="32"/>
        </w:rPr>
        <w:t>（三）行间距：</w:t>
      </w:r>
    </w:p>
    <w:p>
      <w:pPr>
        <w:spacing w:line="400" w:lineRule="exact"/>
        <w:ind w:firstLine="656" w:firstLineChars="205"/>
        <w:rPr>
          <w:rFonts w:ascii="Times New Roman" w:hAnsi="Times New Roman" w:eastAsia="仿宋_GB2312"/>
          <w:sz w:val="32"/>
        </w:rPr>
      </w:pPr>
      <w:r>
        <w:rPr>
          <w:rFonts w:ascii="Times New Roman" w:hAnsi="Times New Roman" w:eastAsia="仿宋_GB2312"/>
          <w:sz w:val="32"/>
        </w:rPr>
        <w:t>行距为19磅固定值，字间距为标准值。</w:t>
      </w:r>
    </w:p>
    <w:p>
      <w:pPr>
        <w:spacing w:line="400" w:lineRule="exact"/>
        <w:ind w:firstLine="659" w:firstLineChars="205"/>
        <w:rPr>
          <w:rFonts w:ascii="Times New Roman" w:hAnsi="Times New Roman" w:eastAsia="楷体_GB2312"/>
          <w:b/>
          <w:bCs/>
          <w:sz w:val="32"/>
        </w:rPr>
      </w:pPr>
      <w:r>
        <w:rPr>
          <w:rFonts w:ascii="Times New Roman" w:hAnsi="Times New Roman" w:eastAsia="楷体_GB2312"/>
          <w:b/>
          <w:bCs/>
          <w:sz w:val="32"/>
        </w:rPr>
        <w:t>（四）页边距</w:t>
      </w:r>
    </w:p>
    <w:p>
      <w:pPr>
        <w:spacing w:line="400" w:lineRule="exact"/>
        <w:ind w:firstLine="656" w:firstLineChars="205"/>
        <w:rPr>
          <w:rFonts w:ascii="Times New Roman" w:hAnsi="Times New Roman" w:eastAsia="仿宋_GB2312"/>
          <w:sz w:val="32"/>
        </w:rPr>
      </w:pPr>
      <w:r>
        <w:rPr>
          <w:rFonts w:ascii="Times New Roman" w:hAnsi="Times New Roman" w:eastAsia="仿宋_GB2312"/>
          <w:sz w:val="32"/>
        </w:rPr>
        <w:t>上3.0厘米，下2.5厘米，左2.8厘米，右2.8厘米，页脚1.5厘米。</w:t>
      </w:r>
    </w:p>
    <w:p>
      <w:pPr>
        <w:spacing w:line="400" w:lineRule="exact"/>
        <w:ind w:firstLine="640" w:firstLineChars="200"/>
        <w:rPr>
          <w:rFonts w:ascii="Times New Roman" w:hAnsi="Times New Roman" w:eastAsia="仿宋_GB2312"/>
          <w:sz w:val="32"/>
        </w:rPr>
      </w:pPr>
      <w:r>
        <w:rPr>
          <w:rFonts w:ascii="Times New Roman" w:hAnsi="Times New Roman" w:eastAsia="仿宋_GB2312"/>
          <w:sz w:val="32"/>
        </w:rPr>
        <w:t>调研报告样稿如下：</w:t>
      </w:r>
    </w:p>
    <w:p>
      <w:pPr>
        <w:spacing w:line="560" w:lineRule="exact"/>
        <w:jc w:val="center"/>
        <w:rPr>
          <w:rFonts w:ascii="Times New Roman" w:hAnsi="Times New Roman" w:eastAsia="方正小标宋_GBK"/>
          <w:bCs/>
          <w:sz w:val="44"/>
        </w:rPr>
      </w:pPr>
      <w:r>
        <w:rPr>
          <w:rFonts w:ascii="Times New Roman" w:hAnsi="Times New Roman" w:eastAsia="方正小标宋_GBK"/>
          <w:bCs/>
          <w:sz w:val="44"/>
        </w:rPr>
        <w:t>关于农村规模化经营问题的探索与思考</w:t>
      </w:r>
    </w:p>
    <w:p>
      <w:pPr>
        <w:spacing w:line="360" w:lineRule="exact"/>
        <w:rPr>
          <w:rFonts w:ascii="Times New Roman" w:hAnsi="Times New Roman" w:eastAsia="黑体"/>
        </w:rPr>
      </w:pP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摘要：</w:t>
      </w:r>
      <w:r>
        <w:rPr>
          <w:rFonts w:ascii="Times New Roman" w:hAnsi="Times New Roman" w:eastAsia="仿宋_GB2312"/>
          <w:sz w:val="32"/>
          <w:szCs w:val="32"/>
        </w:rPr>
        <w:t>本文是关于农村当前产业结构调整中存在的问题加以探索，对如何解决规模花经营提出了建设性的意见。</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关键词：</w:t>
      </w:r>
      <w:r>
        <w:rPr>
          <w:rFonts w:ascii="Times New Roman" w:hAnsi="Times New Roman" w:eastAsia="仿宋_GB2312"/>
          <w:sz w:val="32"/>
          <w:szCs w:val="32"/>
        </w:rPr>
        <w:t>农村   规模化   经营</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指导教师：</w:t>
      </w:r>
      <w:r>
        <w:rPr>
          <w:rFonts w:ascii="Times New Roman" w:hAnsi="Times New Roman" w:eastAsia="仿宋_GB2312"/>
          <w:sz w:val="32"/>
          <w:szCs w:val="32"/>
        </w:rPr>
        <w:t>张三（**大学**学院教授），李四（**大学**学院教授）</w:t>
      </w:r>
    </w:p>
    <w:p>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团队成员：</w:t>
      </w:r>
      <w:r>
        <w:rPr>
          <w:rFonts w:ascii="Times New Roman" w:hAnsi="Times New Roman" w:eastAsia="仿宋_GB2312"/>
          <w:sz w:val="32"/>
          <w:szCs w:val="32"/>
        </w:rPr>
        <w:t>李四，王五</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当前农村问题是我国的一个十分重要的问题，为了在新的世纪里我们能更好地为我国的四个现代化建设服务，我们应该认真研究国际技术贸易法律为更好地服务我国的经济建设服务。</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一、国际技术贸易与知识产权保护法律</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（一）技术的原因导致的是什么样的关系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技术是指制造某种产品、应用某种生产方式或提供某种服务所需要的系统知识,而这些系统知识是能够用文字、图表等表达的,是能够传授的。</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1、</w:t>
      </w:r>
      <w:r>
        <w:rPr>
          <w:rFonts w:ascii="Times New Roman" w:hAnsi="Times New Roman" w:eastAsia="仿宋_GB2312"/>
          <w:b/>
          <w:bCs/>
          <w:sz w:val="32"/>
          <w:szCs w:val="32"/>
        </w:rPr>
        <w:t>在国际时务中的运用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2、</w:t>
      </w:r>
      <w:r>
        <w:rPr>
          <w:rFonts w:ascii="Times New Roman" w:hAnsi="Times New Roman" w:eastAsia="仿宋_GB2312"/>
          <w:b/>
          <w:bCs/>
          <w:sz w:val="32"/>
          <w:szCs w:val="32"/>
        </w:rPr>
        <w:t>在贸易中的使用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p>
    <w:p>
      <w:pPr>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（二）乌拉圭回合谈判中如何使用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二、TRIPS的主要内容和规则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TRIPs的来源：在乌拉圭回合谈判中,美国代表于1987年10月提出,有关知识产权规范的谈判,不能把世界知识产权组织的各项协定和世界版权协定作为唯一圭回合谈判中,美国代表于1987年。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三、规模化经营的现状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参考资料：</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[1]李文.中国国际贸易概论.北京：科学技术出版社，2001.</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[8]江海.贸易时务.上海.上海科学技术出版社</w:t>
      </w:r>
    </w:p>
    <w:p>
      <w:r>
        <w:rPr>
          <w:rFonts w:ascii="Times New Roman" w:hAnsi="Times New Roman" w:eastAsia="仿宋_GB2312"/>
          <w:color w:val="00000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小标宋_GBK">
    <w:altName w:val="Microsoft YaHei UI"/>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4841"/>
    <w:multiLevelType w:val="multilevel"/>
    <w:tmpl w:val="38F8484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97FE8"/>
    <w:rsid w:val="77A9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2018-09-19T05:16:00Z</dcterms:created>
  <dc:creator>QRQXY</dc:creator>
  <cp:lastModifiedBy>QRQXY</cp:lastModifiedBy>
  <dcterms:modified xsi:type="dcterms:W3CDTF">2018-09-19T05:16:42Z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