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8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96" w:type="dxa"/>
          <w:bottom w:w="45" w:type="dxa"/>
          <w:right w:w="96" w:type="dxa"/>
        </w:tblCellMar>
      </w:tblPr>
      <w:tblGrid>
        <w:gridCol w:w="2476"/>
        <w:gridCol w:w="5346"/>
        <w:gridCol w:w="1154"/>
      </w:tblGrid>
      <w:tr w14:paraId="1221D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tblHeader/>
          <w:jc w:val="center"/>
        </w:trPr>
        <w:tc>
          <w:tcPr>
            <w:tcW w:w="2476" w:type="dxa"/>
            <w:tcBorders>
              <w:top w:val="single" w:color="auto" w:sz="4" w:space="0"/>
              <w:left w:val="single" w:color="auto" w:sz="4" w:space="0"/>
              <w:bottom w:val="single" w:color="auto" w:sz="4" w:space="0"/>
              <w:right w:val="single" w:color="auto" w:sz="4" w:space="0"/>
            </w:tcBorders>
            <w:vAlign w:val="center"/>
          </w:tcPr>
          <w:p w14:paraId="75F3647A">
            <w:pPr>
              <w:keepNext/>
              <w:snapToGrid w:val="0"/>
              <w:jc w:val="center"/>
              <w:rPr>
                <w:rFonts w:hint="eastAsia" w:ascii="等线" w:eastAsia="等线"/>
                <w:b/>
                <w:sz w:val="21"/>
                <w:lang w:eastAsia="zh-CN"/>
              </w:rPr>
            </w:pPr>
            <w:r>
              <w:rPr>
                <w:rFonts w:hint="eastAsia" w:ascii="等线" w:eastAsia="等线" w:cs="宋体"/>
                <w:b/>
                <w:spacing w:val="151"/>
                <w:kern w:val="0"/>
                <w:sz w:val="21"/>
                <w:fitText w:val="723" w:id="144055309"/>
                <w:lang w:eastAsia="zh-CN"/>
              </w:rPr>
              <w:t>指</w:t>
            </w:r>
            <w:r>
              <w:rPr>
                <w:rFonts w:hint="eastAsia" w:ascii="等线" w:eastAsia="等线" w:cs="宋体"/>
                <w:b/>
                <w:spacing w:val="0"/>
                <w:kern w:val="0"/>
                <w:sz w:val="21"/>
                <w:fitText w:val="723" w:id="144055309"/>
                <w:lang w:eastAsia="zh-CN"/>
              </w:rPr>
              <w:t>标</w:t>
            </w:r>
          </w:p>
        </w:tc>
        <w:tc>
          <w:tcPr>
            <w:tcW w:w="5346" w:type="dxa"/>
            <w:tcBorders>
              <w:top w:val="single" w:color="auto" w:sz="4" w:space="0"/>
              <w:left w:val="single" w:color="auto" w:sz="4" w:space="0"/>
              <w:bottom w:val="single" w:color="auto" w:sz="4" w:space="0"/>
              <w:right w:val="single" w:color="auto" w:sz="4" w:space="0"/>
            </w:tcBorders>
            <w:vAlign w:val="center"/>
          </w:tcPr>
          <w:p w14:paraId="1D19E911">
            <w:pPr>
              <w:keepNext/>
              <w:adjustRightInd w:val="0"/>
              <w:snapToGrid w:val="0"/>
              <w:spacing w:line="0" w:lineRule="atLeast"/>
              <w:ind w:firstLine="420" w:firstLineChars="200"/>
              <w:jc w:val="center"/>
              <w:rPr>
                <w:rFonts w:hint="eastAsia" w:ascii="等线" w:eastAsia="等线"/>
                <w:b/>
                <w:sz w:val="21"/>
                <w:lang w:eastAsia="zh-CN"/>
              </w:rPr>
            </w:pPr>
            <w:r>
              <w:rPr>
                <w:rFonts w:hint="eastAsia" w:ascii="等线" w:eastAsia="等线" w:cs="宋体"/>
                <w:b/>
                <w:sz w:val="21"/>
                <w:lang w:eastAsia="zh-CN"/>
              </w:rPr>
              <w:t>指标描述</w:t>
            </w:r>
          </w:p>
        </w:tc>
        <w:tc>
          <w:tcPr>
            <w:tcW w:w="1154" w:type="dxa"/>
            <w:tcBorders>
              <w:top w:val="single" w:color="auto" w:sz="4" w:space="0"/>
              <w:left w:val="single" w:color="auto" w:sz="4" w:space="0"/>
              <w:bottom w:val="single" w:color="auto" w:sz="4" w:space="0"/>
              <w:right w:val="single" w:color="auto" w:sz="4" w:space="0"/>
            </w:tcBorders>
            <w:vAlign w:val="center"/>
          </w:tcPr>
          <w:p w14:paraId="76C13E12">
            <w:pPr>
              <w:keepNext/>
              <w:adjustRightInd w:val="0"/>
              <w:snapToGrid w:val="0"/>
              <w:spacing w:line="0" w:lineRule="atLeast"/>
              <w:jc w:val="center"/>
              <w:rPr>
                <w:rFonts w:hint="eastAsia" w:ascii="等线" w:eastAsia="等线"/>
                <w:b/>
                <w:sz w:val="21"/>
                <w:lang w:eastAsia="zh-CN"/>
              </w:rPr>
            </w:pPr>
            <w:r>
              <w:rPr>
                <w:rFonts w:hint="eastAsia" w:ascii="等线" w:eastAsia="等线" w:cs="宋体"/>
                <w:b/>
                <w:sz w:val="21"/>
                <w:lang w:eastAsia="zh-CN"/>
              </w:rPr>
              <w:t>分值范围</w:t>
            </w:r>
          </w:p>
        </w:tc>
      </w:tr>
      <w:tr w14:paraId="313B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2476" w:type="dxa"/>
            <w:vMerge w:val="restart"/>
            <w:tcBorders>
              <w:top w:val="single" w:color="auto" w:sz="4" w:space="0"/>
              <w:left w:val="single" w:color="auto" w:sz="4" w:space="0"/>
              <w:right w:val="single" w:color="auto" w:sz="4" w:space="0"/>
            </w:tcBorders>
            <w:vAlign w:val="center"/>
          </w:tcPr>
          <w:p w14:paraId="390DE999">
            <w:pPr>
              <w:keepNext/>
              <w:snapToGrid w:val="0"/>
              <w:spacing w:line="360" w:lineRule="auto"/>
              <w:jc w:val="center"/>
              <w:rPr>
                <w:rFonts w:ascii="等线" w:hAnsi="宋体" w:eastAsia="宋体"/>
                <w:sz w:val="21"/>
                <w:szCs w:val="21"/>
              </w:rPr>
            </w:pPr>
            <w:r>
              <w:rPr>
                <w:rFonts w:hint="eastAsia" w:ascii="等线" w:hAnsi="宋体" w:eastAsia="宋体"/>
                <w:sz w:val="21"/>
                <w:szCs w:val="21"/>
              </w:rPr>
              <w:t>技术资信分</w:t>
            </w:r>
          </w:p>
          <w:p w14:paraId="7EBEEA6C">
            <w:pPr>
              <w:keepNext/>
              <w:snapToGrid w:val="0"/>
              <w:jc w:val="center"/>
              <w:rPr>
                <w:rFonts w:hint="default" w:ascii="等线" w:eastAsia="宋体"/>
                <w:b/>
                <w:bCs/>
                <w:sz w:val="21"/>
                <w:lang w:val="en-US" w:eastAsia="zh-CN"/>
              </w:rPr>
            </w:pPr>
            <w:r>
              <w:rPr>
                <w:rFonts w:hint="eastAsia" w:ascii="等线" w:hAnsi="宋体" w:eastAsia="宋体"/>
                <w:sz w:val="21"/>
                <w:szCs w:val="21"/>
              </w:rPr>
              <w:t>（</w:t>
            </w:r>
            <w:r>
              <w:rPr>
                <w:rFonts w:hint="eastAsia" w:ascii="等线" w:hAnsi="宋体" w:eastAsia="宋体"/>
                <w:sz w:val="21"/>
                <w:szCs w:val="21"/>
                <w:u w:val="single"/>
              </w:rPr>
              <w:t xml:space="preserve"> </w:t>
            </w:r>
            <w:r>
              <w:rPr>
                <w:rFonts w:hint="eastAsia" w:ascii="等线" w:hAnsi="宋体" w:eastAsia="宋体"/>
                <w:sz w:val="21"/>
                <w:szCs w:val="21"/>
                <w:u w:val="single"/>
                <w:lang w:val="en-US" w:eastAsia="zh-CN"/>
              </w:rPr>
              <w:t>80</w:t>
            </w:r>
            <w:r>
              <w:rPr>
                <w:rFonts w:hint="eastAsia" w:ascii="等线" w:hAnsi="宋体" w:eastAsia="宋体"/>
                <w:sz w:val="21"/>
                <w:szCs w:val="21"/>
                <w:u w:val="single"/>
              </w:rPr>
              <w:t xml:space="preserve"> </w:t>
            </w:r>
            <w:r>
              <w:rPr>
                <w:rFonts w:hint="eastAsia" w:ascii="等线" w:hAnsi="宋体" w:eastAsia="宋体"/>
                <w:sz w:val="21"/>
                <w:szCs w:val="21"/>
              </w:rPr>
              <w:t>分）</w:t>
            </w:r>
          </w:p>
        </w:tc>
        <w:tc>
          <w:tcPr>
            <w:tcW w:w="5346" w:type="dxa"/>
            <w:tcBorders>
              <w:top w:val="single" w:color="auto" w:sz="4" w:space="0"/>
              <w:left w:val="single" w:color="auto" w:sz="4" w:space="0"/>
              <w:bottom w:val="single" w:color="auto" w:sz="4" w:space="0"/>
              <w:right w:val="single" w:color="auto" w:sz="4" w:space="0"/>
            </w:tcBorders>
            <w:vAlign w:val="center"/>
          </w:tcPr>
          <w:p w14:paraId="61D7ED40">
            <w:pPr>
              <w:keepNext/>
              <w:numPr>
                <w:ilvl w:val="0"/>
                <w:numId w:val="1"/>
              </w:numPr>
              <w:autoSpaceDE w:val="0"/>
              <w:autoSpaceDN w:val="0"/>
              <w:adjustRightInd w:val="0"/>
              <w:snapToGrid w:val="0"/>
              <w:ind w:left="210" w:hanging="211" w:hangingChars="100"/>
              <w:jc w:val="left"/>
              <w:rPr>
                <w:rFonts w:hint="eastAsia" w:ascii="等线" w:eastAsia="宋体" w:cs="宋体"/>
                <w:sz w:val="21"/>
                <w:highlight w:val="none"/>
                <w:lang w:val="en-US" w:eastAsia="zh-CN"/>
              </w:rPr>
            </w:pPr>
            <w:r>
              <w:rPr>
                <w:rFonts w:hint="eastAsia" w:ascii="等线" w:eastAsia="宋体" w:cs="宋体"/>
                <w:b/>
                <w:bCs/>
                <w:sz w:val="21"/>
                <w:highlight w:val="none"/>
                <w:lang w:val="en-US" w:eastAsia="zh-CN"/>
              </w:rPr>
              <w:t>服务方案：</w:t>
            </w:r>
            <w:r>
              <w:rPr>
                <w:rFonts w:hint="eastAsia" w:ascii="等线" w:eastAsia="宋体" w:cs="宋体"/>
                <w:sz w:val="21"/>
                <w:highlight w:val="none"/>
                <w:lang w:val="en-US" w:eastAsia="zh-CN"/>
              </w:rPr>
              <w:t>由评审小组根据各供应商所提</w:t>
            </w:r>
          </w:p>
          <w:p w14:paraId="654663EF">
            <w:pPr>
              <w:keepNext/>
              <w:numPr>
                <w:ilvl w:val="0"/>
                <w:numId w:val="0"/>
              </w:numPr>
              <w:autoSpaceDE w:val="0"/>
              <w:autoSpaceDN w:val="0"/>
              <w:adjustRightInd w:val="0"/>
              <w:snapToGrid w:val="0"/>
              <w:jc w:val="left"/>
              <w:rPr>
                <w:rFonts w:hint="eastAsia" w:ascii="等线" w:eastAsia="宋体" w:cs="宋体"/>
                <w:sz w:val="21"/>
                <w:highlight w:val="none"/>
                <w:lang w:val="en-US" w:eastAsia="zh-CN"/>
              </w:rPr>
            </w:pPr>
            <w:r>
              <w:rPr>
                <w:rFonts w:hint="eastAsia" w:ascii="等线" w:eastAsia="宋体" w:cs="宋体"/>
                <w:sz w:val="21"/>
                <w:highlight w:val="none"/>
                <w:lang w:val="en-US" w:eastAsia="zh-CN"/>
              </w:rPr>
              <w:t>供的整体服务方案酌情打分：</w:t>
            </w:r>
          </w:p>
          <w:p w14:paraId="4A895E50">
            <w:pPr>
              <w:pStyle w:val="3"/>
              <w:keepNext/>
              <w:keepLines w:val="0"/>
              <w:pageBreakBefore w:val="0"/>
              <w:widowControl w:val="0"/>
              <w:numPr>
                <w:ilvl w:val="0"/>
                <w:numId w:val="2"/>
              </w:numPr>
              <w:kinsoku/>
              <w:wordWrap/>
              <w:overflowPunct/>
              <w:topLinePunct w:val="0"/>
              <w:bidi w:val="0"/>
              <w:adjustRightInd/>
              <w:snapToGrid w:val="0"/>
              <w:spacing w:after="0"/>
              <w:ind w:left="0" w:leftChars="0" w:firstLine="0" w:firstLineChars="0"/>
              <w:jc w:val="left"/>
              <w:textAlignment w:val="auto"/>
              <w:rPr>
                <w:rFonts w:hint="eastAsia" w:ascii="等线" w:eastAsia="宋体" w:cs="宋体" w:hAnsiTheme="minorHAnsi"/>
                <w:color w:val="auto"/>
                <w:kern w:val="2"/>
                <w:sz w:val="21"/>
                <w:szCs w:val="24"/>
                <w:highlight w:val="none"/>
                <w:lang w:val="en-US" w:eastAsia="zh-CN" w:bidi="ar-SA"/>
              </w:rPr>
            </w:pPr>
            <w:r>
              <w:rPr>
                <w:rFonts w:hint="eastAsia" w:ascii="等线" w:eastAsia="宋体" w:cs="宋体"/>
                <w:b/>
                <w:bCs/>
                <w:sz w:val="21"/>
                <w:highlight w:val="none"/>
                <w:lang w:val="en-US" w:eastAsia="zh-CN"/>
              </w:rPr>
              <w:t>方案创意:</w:t>
            </w:r>
            <w:r>
              <w:rPr>
                <w:rFonts w:hint="eastAsia" w:ascii="等线" w:eastAsia="宋体" w:cs="宋体" w:hAnsiTheme="minorHAnsi"/>
                <w:color w:val="auto"/>
                <w:kern w:val="2"/>
                <w:sz w:val="21"/>
                <w:szCs w:val="24"/>
                <w:highlight w:val="none"/>
                <w:lang w:val="en-US" w:eastAsia="zh-CN" w:bidi="ar-SA"/>
              </w:rPr>
              <w:t>评审小组成员根据供应商提供的创意设计方案是否新颖、紧贴蚌埠学院迎新晚会活动主题。提供设计图、效果图进行评分：</w:t>
            </w:r>
          </w:p>
          <w:p w14:paraId="6CBC6CBB">
            <w:pPr>
              <w:keepNext/>
              <w:keepLines w:val="0"/>
              <w:pageBreakBefore w:val="0"/>
              <w:widowControl w:val="0"/>
              <w:kinsoku/>
              <w:wordWrap/>
              <w:overflowPunct/>
              <w:topLinePunct w:val="0"/>
              <w:autoSpaceDE w:val="0"/>
              <w:autoSpaceDN w:val="0"/>
              <w:bidi w:val="0"/>
              <w:adjustRightInd/>
              <w:snapToGrid w:val="0"/>
              <w:jc w:val="left"/>
              <w:textAlignment w:val="auto"/>
              <w:rPr>
                <w:rFonts w:hint="eastAsia" w:ascii="等线" w:eastAsia="宋体" w:cs="宋体" w:hAnsiTheme="minorHAnsi"/>
                <w:color w:val="auto"/>
                <w:kern w:val="2"/>
                <w:sz w:val="21"/>
                <w:szCs w:val="24"/>
                <w:highlight w:val="none"/>
                <w:lang w:val="en-US" w:eastAsia="zh-CN" w:bidi="ar-SA"/>
              </w:rPr>
            </w:pPr>
            <w:r>
              <w:rPr>
                <w:rFonts w:hint="eastAsia" w:ascii="等线" w:eastAsia="宋体" w:cs="宋体" w:hAnsiTheme="minorHAnsi"/>
                <w:color w:val="auto"/>
                <w:kern w:val="2"/>
                <w:sz w:val="21"/>
                <w:szCs w:val="24"/>
                <w:highlight w:val="none"/>
                <w:lang w:val="en-US" w:eastAsia="zh-CN" w:bidi="ar-SA"/>
              </w:rPr>
              <w:t>（1）方案详细、可行性高、针对性强得</w:t>
            </w:r>
            <w:r>
              <w:rPr>
                <w:rFonts w:hint="eastAsia" w:ascii="等线" w:eastAsia="宋体" w:cs="宋体"/>
                <w:color w:val="auto"/>
                <w:kern w:val="2"/>
                <w:sz w:val="21"/>
                <w:szCs w:val="24"/>
                <w:highlight w:val="none"/>
                <w:lang w:val="en-US" w:eastAsia="zh-CN" w:bidi="ar-SA"/>
              </w:rPr>
              <w:t>5</w:t>
            </w:r>
            <w:r>
              <w:rPr>
                <w:rFonts w:hint="eastAsia" w:ascii="等线" w:eastAsia="宋体" w:cs="宋体" w:hAnsiTheme="minorHAnsi"/>
                <w:color w:val="auto"/>
                <w:kern w:val="2"/>
                <w:sz w:val="21"/>
                <w:szCs w:val="24"/>
                <w:highlight w:val="none"/>
                <w:lang w:val="en-US" w:eastAsia="zh-CN" w:bidi="ar-SA"/>
              </w:rPr>
              <w:t>分；</w:t>
            </w:r>
          </w:p>
          <w:p w14:paraId="11F9AE3D">
            <w:pPr>
              <w:keepNext/>
              <w:keepLines w:val="0"/>
              <w:pageBreakBefore w:val="0"/>
              <w:widowControl w:val="0"/>
              <w:kinsoku/>
              <w:wordWrap/>
              <w:overflowPunct/>
              <w:topLinePunct w:val="0"/>
              <w:autoSpaceDE w:val="0"/>
              <w:autoSpaceDN w:val="0"/>
              <w:bidi w:val="0"/>
              <w:adjustRightInd/>
              <w:snapToGrid w:val="0"/>
              <w:jc w:val="left"/>
              <w:textAlignment w:val="auto"/>
              <w:rPr>
                <w:rFonts w:hint="eastAsia" w:ascii="等线" w:eastAsia="宋体" w:cs="宋体" w:hAnsiTheme="minorHAnsi"/>
                <w:color w:val="auto"/>
                <w:kern w:val="2"/>
                <w:sz w:val="21"/>
                <w:szCs w:val="24"/>
                <w:highlight w:val="none"/>
                <w:lang w:val="en-US" w:eastAsia="zh-CN" w:bidi="ar-SA"/>
              </w:rPr>
            </w:pPr>
            <w:r>
              <w:rPr>
                <w:rFonts w:hint="eastAsia" w:ascii="等线" w:eastAsia="宋体" w:cs="宋体" w:hAnsiTheme="minorHAnsi"/>
                <w:color w:val="auto"/>
                <w:kern w:val="2"/>
                <w:sz w:val="21"/>
                <w:szCs w:val="24"/>
                <w:highlight w:val="none"/>
                <w:lang w:val="en-US" w:eastAsia="zh-CN" w:bidi="ar-SA"/>
              </w:rPr>
              <w:t>（2）方案较为详细，可行，针对性较好，得</w:t>
            </w:r>
            <w:r>
              <w:rPr>
                <w:rFonts w:hint="eastAsia" w:ascii="等线" w:eastAsia="宋体" w:cs="宋体"/>
                <w:color w:val="auto"/>
                <w:kern w:val="2"/>
                <w:sz w:val="21"/>
                <w:szCs w:val="24"/>
                <w:highlight w:val="none"/>
                <w:lang w:val="en-US" w:eastAsia="zh-CN" w:bidi="ar-SA"/>
              </w:rPr>
              <w:t>3</w:t>
            </w:r>
            <w:r>
              <w:rPr>
                <w:rFonts w:hint="eastAsia" w:ascii="等线" w:eastAsia="宋体" w:cs="宋体" w:hAnsiTheme="minorHAnsi"/>
                <w:color w:val="auto"/>
                <w:kern w:val="2"/>
                <w:sz w:val="21"/>
                <w:szCs w:val="24"/>
                <w:highlight w:val="none"/>
                <w:lang w:val="en-US" w:eastAsia="zh-CN" w:bidi="ar-SA"/>
              </w:rPr>
              <w:t>分；</w:t>
            </w:r>
          </w:p>
          <w:p w14:paraId="6BAD6358">
            <w:pPr>
              <w:keepNext/>
              <w:autoSpaceDE w:val="0"/>
              <w:autoSpaceDN w:val="0"/>
              <w:adjustRightInd w:val="0"/>
              <w:snapToGrid w:val="0"/>
              <w:jc w:val="left"/>
              <w:rPr>
                <w:rFonts w:hint="eastAsia" w:ascii="等线" w:eastAsia="宋体" w:cs="宋体" w:hAnsiTheme="minorHAnsi"/>
                <w:color w:val="auto"/>
                <w:kern w:val="2"/>
                <w:sz w:val="21"/>
                <w:szCs w:val="24"/>
                <w:highlight w:val="none"/>
                <w:lang w:val="en-US" w:eastAsia="zh-CN" w:bidi="ar-SA"/>
              </w:rPr>
            </w:pPr>
            <w:r>
              <w:rPr>
                <w:rFonts w:hint="eastAsia" w:ascii="等线" w:eastAsia="宋体" w:cs="宋体" w:hAnsiTheme="minorHAnsi"/>
                <w:color w:val="auto"/>
                <w:kern w:val="2"/>
                <w:sz w:val="21"/>
                <w:szCs w:val="24"/>
                <w:highlight w:val="none"/>
                <w:lang w:val="en-US" w:eastAsia="zh-CN" w:bidi="ar-SA"/>
              </w:rPr>
              <w:t>（3）方案不够详细、可行性不足、针对性弱得</w:t>
            </w:r>
            <w:r>
              <w:rPr>
                <w:rFonts w:hint="eastAsia" w:ascii="等线" w:eastAsia="宋体" w:cs="宋体"/>
                <w:color w:val="auto"/>
                <w:kern w:val="2"/>
                <w:sz w:val="21"/>
                <w:szCs w:val="24"/>
                <w:highlight w:val="none"/>
                <w:lang w:val="en-US" w:eastAsia="zh-CN" w:bidi="ar-SA"/>
              </w:rPr>
              <w:t>1</w:t>
            </w:r>
            <w:r>
              <w:rPr>
                <w:rFonts w:hint="eastAsia" w:ascii="等线" w:eastAsia="宋体" w:cs="宋体" w:hAnsiTheme="minorHAnsi"/>
                <w:color w:val="auto"/>
                <w:kern w:val="2"/>
                <w:sz w:val="21"/>
                <w:szCs w:val="24"/>
                <w:highlight w:val="none"/>
                <w:lang w:val="en-US" w:eastAsia="zh-CN" w:bidi="ar-SA"/>
              </w:rPr>
              <w:t>分；</w:t>
            </w:r>
          </w:p>
          <w:p w14:paraId="08F883D8">
            <w:pPr>
              <w:keepNext/>
              <w:autoSpaceDE w:val="0"/>
              <w:autoSpaceDN w:val="0"/>
              <w:adjustRightInd w:val="0"/>
              <w:snapToGrid w:val="0"/>
              <w:jc w:val="left"/>
              <w:rPr>
                <w:rFonts w:hint="eastAsia" w:ascii="等线" w:eastAsia="宋体" w:cs="宋体" w:hAnsiTheme="minorHAnsi"/>
                <w:color w:val="auto"/>
                <w:kern w:val="2"/>
                <w:sz w:val="21"/>
                <w:szCs w:val="24"/>
                <w:highlight w:val="none"/>
                <w:lang w:val="en-US" w:eastAsia="zh-CN" w:bidi="ar-SA"/>
              </w:rPr>
            </w:pPr>
            <w:r>
              <w:rPr>
                <w:rFonts w:hint="eastAsia" w:ascii="等线" w:eastAsia="宋体" w:cs="宋体" w:hAnsiTheme="minorHAnsi"/>
                <w:color w:val="auto"/>
                <w:kern w:val="2"/>
                <w:sz w:val="21"/>
                <w:szCs w:val="24"/>
                <w:highlight w:val="none"/>
                <w:lang w:val="en-US" w:eastAsia="zh-CN" w:bidi="ar-SA"/>
              </w:rPr>
              <w:t>（4）方案差或者未提供，不得分</w:t>
            </w:r>
            <w:r>
              <w:rPr>
                <w:rFonts w:hint="eastAsia" w:ascii="等线" w:eastAsia="宋体" w:cs="宋体"/>
                <w:color w:val="auto"/>
                <w:kern w:val="2"/>
                <w:sz w:val="21"/>
                <w:szCs w:val="24"/>
                <w:highlight w:val="none"/>
                <w:lang w:val="en-US" w:eastAsia="zh-CN" w:bidi="ar-SA"/>
              </w:rPr>
              <w:t>。</w:t>
            </w:r>
          </w:p>
          <w:p w14:paraId="2DD454F6">
            <w:pPr>
              <w:keepNext/>
              <w:autoSpaceDE w:val="0"/>
              <w:autoSpaceDN w:val="0"/>
              <w:adjustRightInd w:val="0"/>
              <w:snapToGrid w:val="0"/>
              <w:jc w:val="left"/>
              <w:rPr>
                <w:rFonts w:hint="eastAsia" w:ascii="等线" w:eastAsia="宋体" w:cs="宋体"/>
                <w:color w:val="auto"/>
                <w:sz w:val="21"/>
                <w:highlight w:val="none"/>
                <w:lang w:val="en-US" w:eastAsia="zh-CN"/>
              </w:rPr>
            </w:pPr>
            <w:r>
              <w:rPr>
                <w:rFonts w:hint="eastAsia" w:ascii="等线" w:eastAsia="宋体" w:cs="宋体"/>
                <w:b/>
                <w:bCs/>
                <w:sz w:val="21"/>
                <w:highlight w:val="none"/>
                <w:lang w:val="en-US" w:eastAsia="zh-CN"/>
              </w:rPr>
              <w:t>2、实施方案：</w:t>
            </w:r>
            <w:r>
              <w:rPr>
                <w:rFonts w:hint="eastAsia" w:ascii="等线" w:eastAsia="宋体" w:cs="宋体"/>
                <w:color w:val="auto"/>
                <w:sz w:val="21"/>
                <w:highlight w:val="none"/>
                <w:lang w:val="en-US" w:eastAsia="zh-CN"/>
              </w:rPr>
              <w:t>评审小组成员根据整体实施搭建布置方案的合理性及针对性情况进行评分，需提供现场布置搭建模拟图及方案进行评分。</w:t>
            </w:r>
          </w:p>
          <w:p w14:paraId="39B6B34B">
            <w:pPr>
              <w:keepNext/>
              <w:autoSpaceDE w:val="0"/>
              <w:autoSpaceDN w:val="0"/>
              <w:adjustRightInd w:val="0"/>
              <w:snapToGrid w:val="0"/>
              <w:jc w:val="left"/>
              <w:rPr>
                <w:rFonts w:hint="eastAsia" w:ascii="等线" w:eastAsia="宋体" w:cs="宋体"/>
                <w:color w:val="auto"/>
                <w:sz w:val="21"/>
                <w:highlight w:val="none"/>
                <w:lang w:val="en-US" w:eastAsia="zh-CN"/>
              </w:rPr>
            </w:pPr>
            <w:r>
              <w:rPr>
                <w:rFonts w:hint="eastAsia" w:ascii="等线" w:eastAsia="宋体" w:cs="宋体"/>
                <w:color w:val="auto"/>
                <w:sz w:val="21"/>
                <w:highlight w:val="none"/>
                <w:lang w:val="en-US" w:eastAsia="zh-CN"/>
              </w:rPr>
              <w:t>（1）实施方案内容完整详实，表述清晰与本项目实际需求适应度高，利于项目实施，得10分;</w:t>
            </w:r>
          </w:p>
          <w:p w14:paraId="0636C22D">
            <w:pPr>
              <w:keepNext/>
              <w:autoSpaceDE w:val="0"/>
              <w:autoSpaceDN w:val="0"/>
              <w:adjustRightInd w:val="0"/>
              <w:snapToGrid w:val="0"/>
              <w:jc w:val="left"/>
              <w:rPr>
                <w:rFonts w:hint="eastAsia" w:ascii="等线" w:eastAsia="宋体" w:cs="宋体"/>
                <w:color w:val="auto"/>
                <w:sz w:val="21"/>
                <w:highlight w:val="none"/>
                <w:lang w:val="en-US" w:eastAsia="zh-CN"/>
              </w:rPr>
            </w:pPr>
            <w:r>
              <w:rPr>
                <w:rFonts w:hint="eastAsia" w:ascii="等线" w:eastAsia="宋体" w:cs="宋体"/>
                <w:color w:val="auto"/>
                <w:sz w:val="21"/>
                <w:highlight w:val="none"/>
                <w:lang w:val="en-US" w:eastAsia="zh-CN"/>
              </w:rPr>
              <w:t>（2）实施方案要点较突出、有一定针对性，表述清晰与本项目实际需求有较高适应度，符合项目实施要求，得7分;</w:t>
            </w:r>
          </w:p>
          <w:p w14:paraId="5D41782D">
            <w:pPr>
              <w:keepNext/>
              <w:keepLines w:val="0"/>
              <w:pageBreakBefore w:val="0"/>
              <w:widowControl w:val="0"/>
              <w:kinsoku/>
              <w:wordWrap/>
              <w:overflowPunct/>
              <w:topLinePunct w:val="0"/>
              <w:autoSpaceDE w:val="0"/>
              <w:autoSpaceDN w:val="0"/>
              <w:bidi w:val="0"/>
              <w:adjustRightInd w:val="0"/>
              <w:snapToGrid w:val="0"/>
              <w:jc w:val="left"/>
              <w:textAlignment w:val="auto"/>
              <w:rPr>
                <w:rFonts w:hint="eastAsia" w:ascii="等线" w:eastAsia="宋体" w:cs="宋体"/>
                <w:color w:val="auto"/>
                <w:sz w:val="21"/>
                <w:highlight w:val="none"/>
                <w:lang w:val="en-US" w:eastAsia="zh-CN"/>
              </w:rPr>
            </w:pPr>
            <w:r>
              <w:rPr>
                <w:rFonts w:hint="eastAsia" w:ascii="等线" w:eastAsia="宋体" w:cs="宋体"/>
                <w:sz w:val="21"/>
                <w:highlight w:val="none"/>
                <w:lang w:val="en-US" w:eastAsia="zh-CN"/>
              </w:rPr>
              <w:t>（3）</w:t>
            </w:r>
            <w:r>
              <w:rPr>
                <w:rFonts w:hint="eastAsia" w:ascii="等线" w:eastAsia="宋体" w:cs="宋体"/>
                <w:color w:val="auto"/>
                <w:sz w:val="21"/>
                <w:highlight w:val="none"/>
                <w:lang w:val="en-US" w:eastAsia="zh-CN"/>
              </w:rPr>
              <w:t>实施方案不全面，要点突出不明显;具体细节有待完善，得4分;</w:t>
            </w:r>
          </w:p>
          <w:p w14:paraId="7861595A">
            <w:pPr>
              <w:keepNext/>
              <w:keepLines w:val="0"/>
              <w:pageBreakBefore w:val="0"/>
              <w:widowControl w:val="0"/>
              <w:kinsoku/>
              <w:wordWrap/>
              <w:overflowPunct/>
              <w:topLinePunct w:val="0"/>
              <w:autoSpaceDE w:val="0"/>
              <w:autoSpaceDN w:val="0"/>
              <w:bidi w:val="0"/>
              <w:adjustRightInd w:val="0"/>
              <w:snapToGrid w:val="0"/>
              <w:jc w:val="left"/>
              <w:textAlignment w:val="auto"/>
              <w:rPr>
                <w:rFonts w:hint="default" w:ascii="等线" w:eastAsia="宋体" w:cs="宋体" w:hAnsiTheme="minorHAnsi"/>
                <w:b/>
                <w:bCs/>
                <w:kern w:val="2"/>
                <w:sz w:val="21"/>
                <w:szCs w:val="24"/>
                <w:highlight w:val="none"/>
                <w:lang w:val="en-US" w:eastAsia="zh-CN" w:bidi="ar-SA"/>
              </w:rPr>
            </w:pPr>
            <w:r>
              <w:rPr>
                <w:rFonts w:hint="eastAsia" w:ascii="等线" w:eastAsia="宋体" w:cs="宋体"/>
                <w:sz w:val="21"/>
                <w:highlight w:val="none"/>
                <w:lang w:val="en-US" w:eastAsia="zh-CN"/>
              </w:rPr>
              <w:t>（4）</w:t>
            </w:r>
            <w:r>
              <w:rPr>
                <w:rFonts w:hint="eastAsia" w:ascii="等线" w:eastAsia="宋体" w:cs="宋体"/>
                <w:color w:val="auto"/>
                <w:sz w:val="21"/>
                <w:highlight w:val="none"/>
                <w:lang w:val="en-US" w:eastAsia="zh-CN"/>
              </w:rPr>
              <w:t>实施方案没有具体内容或未提供的不得分。</w:t>
            </w:r>
          </w:p>
        </w:tc>
        <w:tc>
          <w:tcPr>
            <w:tcW w:w="1154" w:type="dxa"/>
            <w:tcBorders>
              <w:top w:val="single" w:color="auto" w:sz="4" w:space="0"/>
              <w:left w:val="single" w:color="auto" w:sz="4" w:space="0"/>
              <w:bottom w:val="single" w:color="auto" w:sz="4" w:space="0"/>
              <w:right w:val="single" w:color="auto" w:sz="4" w:space="0"/>
            </w:tcBorders>
            <w:vAlign w:val="center"/>
          </w:tcPr>
          <w:p w14:paraId="7AA209B4">
            <w:pPr>
              <w:keepNext/>
              <w:snapToGrid w:val="0"/>
              <w:jc w:val="center"/>
              <w:rPr>
                <w:rFonts w:hint="default" w:ascii="等线" w:eastAsia="宋体"/>
                <w:b w:val="0"/>
                <w:bCs/>
                <w:sz w:val="21"/>
                <w:highlight w:val="none"/>
                <w:lang w:val="en-US" w:eastAsia="zh-CN"/>
              </w:rPr>
            </w:pPr>
            <w:r>
              <w:rPr>
                <w:rFonts w:hint="eastAsia" w:ascii="等线" w:eastAsia="宋体"/>
                <w:b w:val="0"/>
                <w:bCs/>
                <w:sz w:val="21"/>
                <w:highlight w:val="none"/>
                <w:lang w:val="en-US" w:eastAsia="zh-CN"/>
              </w:rPr>
              <w:t>0-15分</w:t>
            </w:r>
          </w:p>
        </w:tc>
      </w:tr>
      <w:tr w14:paraId="11110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2476" w:type="dxa"/>
            <w:vMerge w:val="continue"/>
            <w:tcBorders>
              <w:left w:val="single" w:color="auto" w:sz="4" w:space="0"/>
              <w:right w:val="single" w:color="auto" w:sz="4" w:space="0"/>
            </w:tcBorders>
            <w:vAlign w:val="center"/>
          </w:tcPr>
          <w:p w14:paraId="2FBC90B2">
            <w:pPr>
              <w:keepNext/>
              <w:snapToGrid w:val="0"/>
              <w:jc w:val="center"/>
              <w:rPr>
                <w:rFonts w:ascii="等线" w:eastAsia="宋体"/>
                <w:b/>
                <w:bCs/>
                <w:sz w:val="21"/>
              </w:rPr>
            </w:pPr>
          </w:p>
        </w:tc>
        <w:tc>
          <w:tcPr>
            <w:tcW w:w="5346" w:type="dxa"/>
            <w:tcBorders>
              <w:top w:val="single" w:color="auto" w:sz="4" w:space="0"/>
              <w:left w:val="single" w:color="auto" w:sz="4" w:space="0"/>
              <w:bottom w:val="single" w:color="auto" w:sz="4" w:space="0"/>
              <w:right w:val="single" w:color="auto" w:sz="4" w:space="0"/>
            </w:tcBorders>
            <w:vAlign w:val="center"/>
          </w:tcPr>
          <w:p w14:paraId="0F29583C">
            <w:pPr>
              <w:keepNext/>
              <w:autoSpaceDE w:val="0"/>
              <w:autoSpaceDN w:val="0"/>
              <w:adjustRightInd w:val="0"/>
              <w:snapToGrid w:val="0"/>
              <w:jc w:val="left"/>
              <w:rPr>
                <w:rFonts w:hint="eastAsia" w:ascii="等线" w:eastAsia="宋体" w:cs="宋体"/>
                <w:i w:val="0"/>
                <w:iCs w:val="0"/>
                <w:sz w:val="21"/>
                <w:highlight w:val="none"/>
                <w:lang w:eastAsia="zh-CN"/>
              </w:rPr>
            </w:pPr>
            <w:r>
              <w:rPr>
                <w:rFonts w:hint="eastAsia" w:ascii="等线" w:eastAsia="宋体" w:cs="宋体"/>
                <w:b/>
                <w:bCs/>
                <w:sz w:val="21"/>
                <w:highlight w:val="none"/>
                <w:lang w:val="en-US" w:eastAsia="zh-CN"/>
              </w:rPr>
              <w:t>（二）供应商业绩：</w:t>
            </w:r>
            <w:r>
              <w:rPr>
                <w:rFonts w:hint="eastAsia" w:ascii="等线" w:eastAsia="宋体" w:cs="宋体"/>
                <w:sz w:val="21"/>
                <w:highlight w:val="none"/>
                <w:lang w:val="en-US" w:eastAsia="zh-CN"/>
              </w:rPr>
              <w:t>2022年1月1日（以合同签订时间为准）以来，供应商具有3000人以上演出服务或演出设备租赁服务等类似项目业绩合同的，每提供一份合同得5分，最多20分。</w:t>
            </w:r>
            <w:r>
              <w:rPr>
                <w:rFonts w:hint="eastAsia" w:ascii="等线" w:eastAsia="宋体" w:cs="宋体"/>
                <w:b/>
                <w:bCs/>
                <w:sz w:val="21"/>
                <w:highlight w:val="none"/>
                <w:lang w:val="en-US" w:eastAsia="zh-CN"/>
              </w:rPr>
              <w:t>（须提供加盖业主单位公章的合同）</w:t>
            </w:r>
          </w:p>
        </w:tc>
        <w:tc>
          <w:tcPr>
            <w:tcW w:w="1154" w:type="dxa"/>
            <w:tcBorders>
              <w:top w:val="single" w:color="auto" w:sz="4" w:space="0"/>
              <w:left w:val="single" w:color="auto" w:sz="4" w:space="0"/>
              <w:bottom w:val="single" w:color="auto" w:sz="4" w:space="0"/>
              <w:right w:val="single" w:color="auto" w:sz="4" w:space="0"/>
            </w:tcBorders>
            <w:vAlign w:val="center"/>
          </w:tcPr>
          <w:p w14:paraId="2951FAB3">
            <w:pPr>
              <w:keepNext/>
              <w:snapToGrid w:val="0"/>
              <w:jc w:val="center"/>
              <w:rPr>
                <w:rFonts w:hint="eastAsia" w:ascii="等线" w:eastAsia="宋体"/>
                <w:b w:val="0"/>
                <w:bCs/>
                <w:sz w:val="21"/>
                <w:highlight w:val="none"/>
                <w:lang w:val="en-US" w:eastAsia="zh-CN"/>
              </w:rPr>
            </w:pPr>
            <w:r>
              <w:rPr>
                <w:rFonts w:hint="eastAsia" w:ascii="等线" w:eastAsia="宋体"/>
                <w:b w:val="0"/>
                <w:bCs/>
                <w:sz w:val="21"/>
                <w:highlight w:val="none"/>
                <w:lang w:val="en-US" w:eastAsia="zh-CN"/>
              </w:rPr>
              <w:t>0-20分</w:t>
            </w:r>
          </w:p>
        </w:tc>
      </w:tr>
      <w:tr w14:paraId="62719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2476" w:type="dxa"/>
            <w:vMerge w:val="continue"/>
            <w:tcBorders>
              <w:left w:val="single" w:color="auto" w:sz="4" w:space="0"/>
              <w:right w:val="single" w:color="auto" w:sz="4" w:space="0"/>
            </w:tcBorders>
            <w:vAlign w:val="center"/>
          </w:tcPr>
          <w:p w14:paraId="267DC434">
            <w:pPr>
              <w:keepNext/>
              <w:snapToGrid w:val="0"/>
              <w:jc w:val="center"/>
              <w:rPr>
                <w:rFonts w:ascii="等线" w:eastAsia="宋体"/>
                <w:b/>
                <w:bCs/>
                <w:sz w:val="21"/>
              </w:rPr>
            </w:pPr>
          </w:p>
        </w:tc>
        <w:tc>
          <w:tcPr>
            <w:tcW w:w="5346" w:type="dxa"/>
            <w:tcBorders>
              <w:top w:val="single" w:color="auto" w:sz="4" w:space="0"/>
              <w:left w:val="single" w:color="auto" w:sz="4" w:space="0"/>
              <w:bottom w:val="single" w:color="auto" w:sz="4" w:space="0"/>
              <w:right w:val="single" w:color="auto" w:sz="4" w:space="0"/>
            </w:tcBorders>
            <w:vAlign w:val="center"/>
          </w:tcPr>
          <w:p w14:paraId="29D0D932">
            <w:pPr>
              <w:keepNext/>
              <w:autoSpaceDE w:val="0"/>
              <w:autoSpaceDN w:val="0"/>
              <w:adjustRightInd w:val="0"/>
              <w:snapToGrid w:val="0"/>
              <w:jc w:val="left"/>
              <w:rPr>
                <w:rFonts w:hint="eastAsia" w:ascii="等线" w:eastAsia="宋体" w:cs="宋体"/>
                <w:sz w:val="21"/>
                <w:highlight w:val="none"/>
                <w:lang w:val="en-US" w:eastAsia="zh-CN"/>
              </w:rPr>
            </w:pPr>
            <w:r>
              <w:rPr>
                <w:rFonts w:hint="eastAsia" w:ascii="等线" w:eastAsia="宋体" w:cs="宋体"/>
                <w:b/>
                <w:bCs/>
                <w:sz w:val="21"/>
                <w:highlight w:val="none"/>
                <w:lang w:val="en-US" w:eastAsia="zh-CN"/>
              </w:rPr>
              <w:t>（三）服务团队：</w:t>
            </w:r>
            <w:r>
              <w:rPr>
                <w:rFonts w:hint="eastAsia" w:ascii="等线" w:eastAsia="宋体" w:cs="宋体"/>
                <w:sz w:val="21"/>
                <w:highlight w:val="none"/>
                <w:lang w:val="en-US" w:eastAsia="zh-CN"/>
              </w:rPr>
              <w:t>供应商需要为本项目配备专业的设备安装调试和保障团队：</w:t>
            </w:r>
          </w:p>
          <w:p w14:paraId="1D1B1E32">
            <w:pPr>
              <w:keepNext/>
              <w:autoSpaceDE w:val="0"/>
              <w:autoSpaceDN w:val="0"/>
              <w:adjustRightInd w:val="0"/>
              <w:snapToGrid w:val="0"/>
              <w:jc w:val="left"/>
              <w:rPr>
                <w:rFonts w:hint="eastAsia" w:ascii="等线" w:eastAsia="宋体" w:cs="宋体"/>
                <w:b/>
                <w:bCs/>
                <w:sz w:val="21"/>
                <w:highlight w:val="none"/>
                <w:lang w:val="en-US" w:eastAsia="zh-CN"/>
              </w:rPr>
            </w:pPr>
            <w:r>
              <w:rPr>
                <w:rFonts w:hint="eastAsia" w:ascii="等线" w:eastAsia="宋体" w:cs="宋体"/>
                <w:b/>
                <w:bCs/>
                <w:sz w:val="21"/>
                <w:highlight w:val="none"/>
                <w:lang w:val="en-US" w:eastAsia="zh-CN"/>
              </w:rPr>
              <w:t>1、团队人员规模及合理性（参照物料表）</w:t>
            </w:r>
          </w:p>
          <w:p w14:paraId="01DC3976">
            <w:pPr>
              <w:keepNext/>
              <w:autoSpaceDE w:val="0"/>
              <w:autoSpaceDN w:val="0"/>
              <w:adjustRightInd w:val="0"/>
              <w:snapToGrid w:val="0"/>
              <w:jc w:val="left"/>
              <w:rPr>
                <w:rFonts w:hint="eastAsia" w:ascii="等线" w:eastAsia="宋体" w:cs="宋体"/>
                <w:color w:val="auto"/>
                <w:sz w:val="21"/>
                <w:highlight w:val="none"/>
                <w:lang w:val="en-US" w:eastAsia="zh-CN"/>
              </w:rPr>
            </w:pPr>
            <w:r>
              <w:rPr>
                <w:rFonts w:hint="eastAsia" w:ascii="等线" w:eastAsia="宋体" w:cs="宋体"/>
                <w:color w:val="auto"/>
                <w:sz w:val="21"/>
                <w:highlight w:val="none"/>
                <w:lang w:val="en-US" w:eastAsia="zh-CN"/>
              </w:rPr>
              <w:t>（1）团队人员配备充足，岗位安排合理，能够完全满足本项目的实际需求，得5分；</w:t>
            </w:r>
          </w:p>
          <w:p w14:paraId="2F140737">
            <w:pPr>
              <w:keepNext/>
              <w:autoSpaceDE w:val="0"/>
              <w:autoSpaceDN w:val="0"/>
              <w:adjustRightInd w:val="0"/>
              <w:snapToGrid w:val="0"/>
              <w:jc w:val="left"/>
              <w:rPr>
                <w:rFonts w:hint="eastAsia" w:ascii="等线" w:eastAsia="宋体" w:cs="宋体"/>
                <w:color w:val="auto"/>
                <w:sz w:val="21"/>
                <w:highlight w:val="none"/>
                <w:lang w:val="en-US" w:eastAsia="zh-CN"/>
              </w:rPr>
            </w:pPr>
            <w:r>
              <w:rPr>
                <w:rFonts w:hint="eastAsia" w:ascii="等线" w:eastAsia="宋体" w:cs="宋体"/>
                <w:color w:val="auto"/>
                <w:sz w:val="21"/>
                <w:highlight w:val="none"/>
                <w:lang w:val="en-US" w:eastAsia="zh-CN"/>
              </w:rPr>
              <w:t>（2）团队人员配备比较充足，岗位安排比较合理，能够基本满足本项目的实际需求，得3分；</w:t>
            </w:r>
          </w:p>
          <w:p w14:paraId="2A79C2F9">
            <w:pPr>
              <w:keepNext/>
              <w:autoSpaceDE w:val="0"/>
              <w:autoSpaceDN w:val="0"/>
              <w:adjustRightInd w:val="0"/>
              <w:snapToGrid w:val="0"/>
              <w:jc w:val="left"/>
              <w:rPr>
                <w:rFonts w:hint="eastAsia" w:ascii="等线" w:eastAsia="宋体" w:cs="宋体"/>
                <w:color w:val="auto"/>
                <w:sz w:val="21"/>
                <w:highlight w:val="none"/>
                <w:lang w:val="en-US" w:eastAsia="zh-CN"/>
              </w:rPr>
            </w:pPr>
            <w:r>
              <w:rPr>
                <w:rFonts w:hint="eastAsia" w:ascii="等线" w:eastAsia="宋体" w:cs="宋体"/>
                <w:color w:val="auto"/>
                <w:sz w:val="21"/>
                <w:highlight w:val="none"/>
                <w:lang w:val="en-US" w:eastAsia="zh-CN"/>
              </w:rPr>
              <w:t>（3）团队人员配备及岗位安排合理性较差，不能满足本项目的实际需求，不得分。</w:t>
            </w:r>
          </w:p>
          <w:p w14:paraId="6B2427B7">
            <w:pPr>
              <w:keepNext/>
              <w:autoSpaceDE w:val="0"/>
              <w:autoSpaceDN w:val="0"/>
              <w:adjustRightInd w:val="0"/>
              <w:snapToGrid w:val="0"/>
              <w:jc w:val="left"/>
              <w:rPr>
                <w:rFonts w:hint="eastAsia" w:ascii="等线" w:eastAsia="宋体" w:cs="宋体"/>
                <w:b/>
                <w:bCs/>
                <w:sz w:val="21"/>
                <w:highlight w:val="none"/>
                <w:lang w:val="en-US" w:eastAsia="zh-CN"/>
              </w:rPr>
            </w:pPr>
            <w:r>
              <w:rPr>
                <w:rFonts w:hint="eastAsia" w:ascii="等线" w:eastAsia="宋体" w:cs="宋体"/>
                <w:b/>
                <w:bCs/>
                <w:sz w:val="21"/>
                <w:highlight w:val="none"/>
                <w:lang w:val="en-US" w:eastAsia="zh-CN"/>
              </w:rPr>
              <w:t>2、团队人员专业技术（参照物料表）</w:t>
            </w:r>
          </w:p>
          <w:p w14:paraId="03DE45A5">
            <w:pPr>
              <w:keepNext/>
              <w:autoSpaceDE w:val="0"/>
              <w:autoSpaceDN w:val="0"/>
              <w:adjustRightInd w:val="0"/>
              <w:snapToGrid w:val="0"/>
              <w:jc w:val="left"/>
              <w:rPr>
                <w:rFonts w:hint="eastAsia" w:ascii="等线" w:eastAsia="宋体" w:cs="宋体"/>
                <w:color w:val="auto"/>
                <w:sz w:val="21"/>
                <w:highlight w:val="none"/>
                <w:lang w:val="en-US" w:eastAsia="zh-CN"/>
              </w:rPr>
            </w:pPr>
            <w:r>
              <w:rPr>
                <w:rFonts w:hint="eastAsia" w:ascii="等线" w:eastAsia="宋体" w:cs="宋体"/>
                <w:color w:val="auto"/>
                <w:sz w:val="21"/>
                <w:highlight w:val="none"/>
                <w:lang w:val="en-US" w:eastAsia="zh-CN"/>
              </w:rPr>
              <w:t>（1）团队人员专业技术强，经验丰富，能够完全满足本项目的实际需求，得10分；</w:t>
            </w:r>
          </w:p>
          <w:p w14:paraId="53BCD3C9">
            <w:pPr>
              <w:keepNext/>
              <w:autoSpaceDE w:val="0"/>
              <w:autoSpaceDN w:val="0"/>
              <w:adjustRightInd w:val="0"/>
              <w:snapToGrid w:val="0"/>
              <w:jc w:val="left"/>
              <w:rPr>
                <w:rFonts w:hint="eastAsia" w:ascii="等线" w:eastAsia="宋体" w:cs="宋体"/>
                <w:color w:val="auto"/>
                <w:sz w:val="21"/>
                <w:highlight w:val="none"/>
                <w:lang w:val="en-US" w:eastAsia="zh-CN"/>
              </w:rPr>
            </w:pPr>
            <w:r>
              <w:rPr>
                <w:rFonts w:hint="eastAsia" w:ascii="等线" w:eastAsia="宋体" w:cs="宋体"/>
                <w:color w:val="auto"/>
                <w:sz w:val="21"/>
                <w:highlight w:val="none"/>
                <w:lang w:val="en-US" w:eastAsia="zh-CN"/>
              </w:rPr>
              <w:t>（2）团队人员专业技术较强，经验较丰富，能够满足本项目的实际需求，得6分；</w:t>
            </w:r>
          </w:p>
          <w:p w14:paraId="4EB13494">
            <w:pPr>
              <w:keepNext/>
              <w:autoSpaceDE w:val="0"/>
              <w:autoSpaceDN w:val="0"/>
              <w:adjustRightInd w:val="0"/>
              <w:snapToGrid w:val="0"/>
              <w:jc w:val="left"/>
              <w:rPr>
                <w:rFonts w:hint="eastAsia" w:ascii="等线" w:eastAsia="宋体" w:cs="宋体"/>
                <w:color w:val="auto"/>
                <w:sz w:val="21"/>
                <w:highlight w:val="none"/>
                <w:lang w:val="en-US" w:eastAsia="zh-CN"/>
              </w:rPr>
            </w:pPr>
            <w:r>
              <w:rPr>
                <w:rFonts w:hint="eastAsia" w:ascii="等线" w:eastAsia="宋体" w:cs="宋体"/>
                <w:color w:val="auto"/>
                <w:sz w:val="21"/>
                <w:highlight w:val="none"/>
                <w:lang w:val="en-US" w:eastAsia="zh-CN"/>
              </w:rPr>
              <w:t>（3）团队人员专业技术能基本满足本项目的实际需求，得3分；</w:t>
            </w:r>
          </w:p>
          <w:p w14:paraId="2AD0E30A">
            <w:pPr>
              <w:keepNext/>
              <w:autoSpaceDE w:val="0"/>
              <w:autoSpaceDN w:val="0"/>
              <w:adjustRightInd w:val="0"/>
              <w:snapToGrid w:val="0"/>
              <w:jc w:val="left"/>
              <w:rPr>
                <w:rFonts w:hint="eastAsia" w:ascii="等线" w:eastAsia="宋体" w:cs="宋体"/>
                <w:color w:val="auto"/>
                <w:sz w:val="21"/>
                <w:highlight w:val="none"/>
                <w:lang w:val="en-US" w:eastAsia="zh-CN"/>
              </w:rPr>
            </w:pPr>
            <w:r>
              <w:rPr>
                <w:rFonts w:hint="eastAsia" w:ascii="等线" w:eastAsia="宋体" w:cs="宋体"/>
                <w:color w:val="auto"/>
                <w:sz w:val="21"/>
                <w:highlight w:val="none"/>
                <w:lang w:val="en-US" w:eastAsia="zh-CN"/>
              </w:rPr>
              <w:t>（4）团队人员专业技术不能满足本项目的实际需求，不得分。</w:t>
            </w:r>
          </w:p>
          <w:p w14:paraId="160E5E37">
            <w:pPr>
              <w:keepNext/>
              <w:autoSpaceDE w:val="0"/>
              <w:autoSpaceDN w:val="0"/>
              <w:adjustRightInd w:val="0"/>
              <w:snapToGrid w:val="0"/>
              <w:jc w:val="left"/>
              <w:rPr>
                <w:rFonts w:hint="eastAsia" w:ascii="等线" w:eastAsia="宋体" w:cs="宋体"/>
                <w:i w:val="0"/>
                <w:iCs w:val="0"/>
                <w:sz w:val="21"/>
                <w:highlight w:val="none"/>
              </w:rPr>
            </w:pPr>
            <w:r>
              <w:rPr>
                <w:rFonts w:hint="eastAsia" w:ascii="等线" w:eastAsia="宋体" w:cs="宋体"/>
                <w:b/>
                <w:bCs/>
                <w:sz w:val="21"/>
                <w:highlight w:val="none"/>
                <w:lang w:val="en-US" w:eastAsia="zh-CN"/>
              </w:rPr>
              <w:t>注：响应文件中提供团队人员信息表（ 格式自拟，包括但不限于人员姓名、年龄、学历、从业经历、持有的专业证书、岗位安排等相关信息）。</w:t>
            </w:r>
          </w:p>
        </w:tc>
        <w:tc>
          <w:tcPr>
            <w:tcW w:w="1154" w:type="dxa"/>
            <w:tcBorders>
              <w:top w:val="single" w:color="auto" w:sz="4" w:space="0"/>
              <w:left w:val="single" w:color="auto" w:sz="4" w:space="0"/>
              <w:bottom w:val="single" w:color="auto" w:sz="4" w:space="0"/>
              <w:right w:val="single" w:color="auto" w:sz="4" w:space="0"/>
            </w:tcBorders>
            <w:vAlign w:val="center"/>
          </w:tcPr>
          <w:p w14:paraId="572ABE05">
            <w:pPr>
              <w:keepNext/>
              <w:snapToGrid w:val="0"/>
              <w:jc w:val="center"/>
              <w:rPr>
                <w:rFonts w:hint="eastAsia" w:ascii="等线" w:eastAsia="宋体"/>
                <w:b w:val="0"/>
                <w:bCs/>
                <w:sz w:val="21"/>
                <w:highlight w:val="none"/>
                <w:lang w:val="en-US" w:eastAsia="zh-CN"/>
              </w:rPr>
            </w:pPr>
            <w:r>
              <w:rPr>
                <w:rFonts w:hint="eastAsia" w:ascii="等线" w:eastAsia="宋体"/>
                <w:b w:val="0"/>
                <w:bCs/>
                <w:sz w:val="21"/>
                <w:highlight w:val="none"/>
                <w:lang w:val="en-US" w:eastAsia="zh-CN"/>
              </w:rPr>
              <w:t>0-15分</w:t>
            </w:r>
          </w:p>
        </w:tc>
      </w:tr>
      <w:tr w14:paraId="02EF2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2476" w:type="dxa"/>
            <w:vMerge w:val="continue"/>
            <w:tcBorders>
              <w:left w:val="single" w:color="auto" w:sz="4" w:space="0"/>
              <w:right w:val="single" w:color="auto" w:sz="4" w:space="0"/>
            </w:tcBorders>
            <w:vAlign w:val="center"/>
          </w:tcPr>
          <w:p w14:paraId="6A81ED2F">
            <w:pPr>
              <w:keepNext/>
              <w:snapToGrid w:val="0"/>
              <w:jc w:val="center"/>
              <w:rPr>
                <w:rFonts w:ascii="等线" w:eastAsia="宋体"/>
                <w:b/>
                <w:bCs/>
                <w:sz w:val="21"/>
              </w:rPr>
            </w:pPr>
          </w:p>
        </w:tc>
        <w:tc>
          <w:tcPr>
            <w:tcW w:w="5346" w:type="dxa"/>
            <w:tcBorders>
              <w:top w:val="single" w:color="auto" w:sz="4" w:space="0"/>
              <w:left w:val="single" w:color="auto" w:sz="4" w:space="0"/>
              <w:bottom w:val="single" w:color="auto" w:sz="4" w:space="0"/>
              <w:right w:val="single" w:color="auto" w:sz="4" w:space="0"/>
            </w:tcBorders>
            <w:vAlign w:val="center"/>
          </w:tcPr>
          <w:p w14:paraId="6B4A1FB7">
            <w:pPr>
              <w:keepNext/>
              <w:autoSpaceDE w:val="0"/>
              <w:autoSpaceDN w:val="0"/>
              <w:adjustRightInd w:val="0"/>
              <w:snapToGrid w:val="0"/>
              <w:jc w:val="left"/>
              <w:rPr>
                <w:rFonts w:hint="eastAsia" w:ascii="等线" w:eastAsia="宋体" w:cs="宋体"/>
                <w:b/>
                <w:bCs/>
                <w:sz w:val="21"/>
                <w:highlight w:val="none"/>
                <w:lang w:val="en-US" w:eastAsia="zh-CN"/>
              </w:rPr>
            </w:pPr>
            <w:r>
              <w:rPr>
                <w:rFonts w:hint="eastAsia" w:ascii="等线" w:eastAsia="宋体" w:cs="宋体"/>
                <w:b/>
                <w:bCs/>
                <w:sz w:val="21"/>
                <w:highlight w:val="none"/>
                <w:lang w:val="en-US" w:eastAsia="zh-CN"/>
              </w:rPr>
              <w:t>（四）设备安装调试和现场保障：</w:t>
            </w:r>
          </w:p>
          <w:p w14:paraId="30BAB643">
            <w:pPr>
              <w:keepNext/>
              <w:autoSpaceDE w:val="0"/>
              <w:autoSpaceDN w:val="0"/>
              <w:adjustRightInd w:val="0"/>
              <w:snapToGrid w:val="0"/>
              <w:jc w:val="left"/>
              <w:rPr>
                <w:rFonts w:hint="eastAsia" w:ascii="等线" w:eastAsia="宋体" w:cs="宋体"/>
                <w:b/>
                <w:bCs/>
                <w:sz w:val="21"/>
                <w:highlight w:val="none"/>
                <w:lang w:val="en-US" w:eastAsia="zh-CN"/>
              </w:rPr>
            </w:pPr>
            <w:r>
              <w:rPr>
                <w:rFonts w:hint="eastAsia" w:ascii="等线" w:eastAsia="宋体" w:cs="宋体"/>
                <w:b/>
                <w:bCs/>
                <w:sz w:val="21"/>
                <w:highlight w:val="none"/>
                <w:lang w:val="en-US" w:eastAsia="zh-CN"/>
              </w:rPr>
              <w:t>1.设备安装调试：</w:t>
            </w:r>
          </w:p>
          <w:p w14:paraId="6A707507">
            <w:pPr>
              <w:keepNext/>
              <w:autoSpaceDE w:val="0"/>
              <w:autoSpaceDN w:val="0"/>
              <w:adjustRightInd w:val="0"/>
              <w:snapToGrid w:val="0"/>
              <w:jc w:val="left"/>
              <w:rPr>
                <w:rFonts w:hint="eastAsia" w:ascii="等线" w:eastAsia="宋体" w:cs="宋体"/>
                <w:sz w:val="21"/>
                <w:highlight w:val="none"/>
                <w:lang w:val="en-US" w:eastAsia="zh-CN"/>
              </w:rPr>
            </w:pPr>
            <w:r>
              <w:rPr>
                <w:rFonts w:hint="eastAsia" w:ascii="等线" w:eastAsia="宋体" w:cs="宋体"/>
                <w:sz w:val="21"/>
                <w:highlight w:val="none"/>
                <w:lang w:val="en-US" w:eastAsia="zh-CN"/>
              </w:rPr>
              <w:t>根据供应商提供的设备安装调试方案进行综合评审：</w:t>
            </w:r>
          </w:p>
          <w:p w14:paraId="3A982751">
            <w:pPr>
              <w:keepNext/>
              <w:autoSpaceDE w:val="0"/>
              <w:autoSpaceDN w:val="0"/>
              <w:adjustRightInd w:val="0"/>
              <w:snapToGrid w:val="0"/>
              <w:jc w:val="left"/>
              <w:rPr>
                <w:rFonts w:hint="eastAsia" w:ascii="等线" w:eastAsia="宋体" w:cs="宋体"/>
                <w:sz w:val="21"/>
                <w:highlight w:val="none"/>
                <w:lang w:val="en-US" w:eastAsia="zh-CN"/>
              </w:rPr>
            </w:pPr>
            <w:r>
              <w:rPr>
                <w:rFonts w:hint="eastAsia" w:ascii="等线" w:eastAsia="宋体" w:cs="宋体"/>
                <w:sz w:val="21"/>
                <w:highlight w:val="none"/>
                <w:lang w:val="en-US" w:eastAsia="zh-CN"/>
              </w:rPr>
              <w:t xml:space="preserve">（1）设备安装调试方案内容完整详细、科学合理，可行性强，符合项目需求，利于项目实施的，得8分； </w:t>
            </w:r>
          </w:p>
          <w:p w14:paraId="07C36DBC">
            <w:pPr>
              <w:keepNext/>
              <w:autoSpaceDE w:val="0"/>
              <w:autoSpaceDN w:val="0"/>
              <w:adjustRightInd w:val="0"/>
              <w:snapToGrid w:val="0"/>
              <w:jc w:val="left"/>
              <w:rPr>
                <w:rFonts w:hint="eastAsia" w:ascii="等线" w:eastAsia="宋体" w:cs="宋体"/>
                <w:sz w:val="21"/>
                <w:highlight w:val="none"/>
                <w:lang w:val="en-US" w:eastAsia="zh-CN"/>
              </w:rPr>
            </w:pPr>
            <w:r>
              <w:rPr>
                <w:rFonts w:hint="eastAsia" w:ascii="等线" w:eastAsia="宋体" w:cs="宋体"/>
                <w:sz w:val="21"/>
                <w:highlight w:val="none"/>
                <w:lang w:val="en-US" w:eastAsia="zh-CN"/>
              </w:rPr>
              <w:t xml:space="preserve">（2）设备安装调试方案内容比较完整详细、科学合理，可行性较强，比较符合项目需求，利于项目实施的，得4分； </w:t>
            </w:r>
          </w:p>
          <w:p w14:paraId="7E7D1076">
            <w:pPr>
              <w:keepNext/>
              <w:autoSpaceDE w:val="0"/>
              <w:autoSpaceDN w:val="0"/>
              <w:adjustRightInd w:val="0"/>
              <w:snapToGrid w:val="0"/>
              <w:jc w:val="left"/>
              <w:rPr>
                <w:rFonts w:hint="eastAsia" w:ascii="等线" w:eastAsia="宋体" w:cs="宋体"/>
                <w:sz w:val="21"/>
                <w:highlight w:val="none"/>
                <w:lang w:val="en-US" w:eastAsia="zh-CN"/>
              </w:rPr>
            </w:pPr>
            <w:r>
              <w:rPr>
                <w:rFonts w:hint="eastAsia" w:ascii="等线" w:eastAsia="宋体" w:cs="宋体"/>
                <w:sz w:val="21"/>
                <w:highlight w:val="none"/>
                <w:lang w:val="en-US" w:eastAsia="zh-CN"/>
              </w:rPr>
              <w:t xml:space="preserve">（3）设备安装调试方案内容存在欠缺，可行性存在不足，与项目需求结合性有待完善的，得2分； </w:t>
            </w:r>
          </w:p>
          <w:p w14:paraId="03A750F8">
            <w:pPr>
              <w:keepNext/>
              <w:autoSpaceDE w:val="0"/>
              <w:autoSpaceDN w:val="0"/>
              <w:adjustRightInd w:val="0"/>
              <w:snapToGrid w:val="0"/>
              <w:jc w:val="left"/>
              <w:rPr>
                <w:rFonts w:hint="eastAsia" w:ascii="等线" w:eastAsia="宋体" w:cs="宋体"/>
                <w:sz w:val="21"/>
                <w:highlight w:val="none"/>
                <w:lang w:val="en-US" w:eastAsia="zh-CN"/>
              </w:rPr>
            </w:pPr>
            <w:r>
              <w:rPr>
                <w:rFonts w:hint="eastAsia" w:ascii="等线" w:eastAsia="宋体" w:cs="宋体"/>
                <w:sz w:val="21"/>
                <w:highlight w:val="none"/>
                <w:lang w:val="en-US" w:eastAsia="zh-CN"/>
              </w:rPr>
              <w:t xml:space="preserve">（4）差或未提供的，不得分。 </w:t>
            </w:r>
          </w:p>
          <w:p w14:paraId="3BE74660">
            <w:pPr>
              <w:keepNext/>
              <w:autoSpaceDE w:val="0"/>
              <w:autoSpaceDN w:val="0"/>
              <w:adjustRightInd w:val="0"/>
              <w:snapToGrid w:val="0"/>
              <w:jc w:val="left"/>
              <w:rPr>
                <w:rFonts w:hint="eastAsia" w:ascii="等线" w:eastAsia="宋体" w:cs="宋体"/>
                <w:b/>
                <w:bCs/>
                <w:sz w:val="21"/>
                <w:highlight w:val="none"/>
                <w:lang w:val="en-US" w:eastAsia="zh-CN"/>
              </w:rPr>
            </w:pPr>
            <w:r>
              <w:rPr>
                <w:rFonts w:hint="eastAsia" w:ascii="等线" w:eastAsia="宋体" w:cs="宋体"/>
                <w:b/>
                <w:bCs/>
                <w:sz w:val="21"/>
                <w:highlight w:val="none"/>
                <w:lang w:val="en-US" w:eastAsia="zh-CN"/>
              </w:rPr>
              <w:t>2.现场保障服务方案：</w:t>
            </w:r>
          </w:p>
          <w:p w14:paraId="0DFD95CB">
            <w:pPr>
              <w:keepNext/>
              <w:autoSpaceDE w:val="0"/>
              <w:autoSpaceDN w:val="0"/>
              <w:adjustRightInd w:val="0"/>
              <w:snapToGrid w:val="0"/>
              <w:jc w:val="left"/>
              <w:rPr>
                <w:rFonts w:hint="eastAsia" w:ascii="等线" w:eastAsia="宋体" w:cs="宋体"/>
                <w:sz w:val="21"/>
                <w:highlight w:val="none"/>
                <w:lang w:val="en-US" w:eastAsia="zh-CN"/>
              </w:rPr>
            </w:pPr>
            <w:r>
              <w:rPr>
                <w:rFonts w:hint="eastAsia" w:ascii="等线" w:eastAsia="宋体" w:cs="宋体"/>
                <w:sz w:val="21"/>
                <w:highlight w:val="none"/>
                <w:lang w:val="en-US" w:eastAsia="zh-CN"/>
              </w:rPr>
              <w:t>根据供应商提供的现场保障服务方案进行综合评审：</w:t>
            </w:r>
          </w:p>
          <w:p w14:paraId="5546287A">
            <w:pPr>
              <w:keepNext/>
              <w:autoSpaceDE w:val="0"/>
              <w:autoSpaceDN w:val="0"/>
              <w:adjustRightInd w:val="0"/>
              <w:snapToGrid w:val="0"/>
              <w:jc w:val="left"/>
              <w:rPr>
                <w:rFonts w:hint="eastAsia" w:ascii="等线" w:eastAsia="宋体" w:cs="宋体"/>
                <w:sz w:val="21"/>
                <w:highlight w:val="none"/>
                <w:lang w:val="en-US" w:eastAsia="zh-CN"/>
              </w:rPr>
            </w:pPr>
            <w:r>
              <w:rPr>
                <w:rFonts w:hint="eastAsia" w:ascii="等线" w:eastAsia="宋体" w:cs="宋体"/>
                <w:sz w:val="21"/>
                <w:highlight w:val="none"/>
                <w:lang w:val="en-US" w:eastAsia="zh-CN"/>
              </w:rPr>
              <w:t xml:space="preserve">（1）现场保障服务方案内容完整详细、科学合理，可行性强，符合项目需求，利于项目实施的，得6分； </w:t>
            </w:r>
          </w:p>
          <w:p w14:paraId="662C5046">
            <w:pPr>
              <w:keepNext/>
              <w:autoSpaceDE w:val="0"/>
              <w:autoSpaceDN w:val="0"/>
              <w:adjustRightInd w:val="0"/>
              <w:snapToGrid w:val="0"/>
              <w:jc w:val="left"/>
              <w:rPr>
                <w:rFonts w:hint="eastAsia" w:ascii="等线" w:eastAsia="宋体" w:cs="宋体"/>
                <w:sz w:val="21"/>
                <w:highlight w:val="none"/>
                <w:lang w:val="en-US" w:eastAsia="zh-CN"/>
              </w:rPr>
            </w:pPr>
            <w:r>
              <w:rPr>
                <w:rFonts w:hint="eastAsia" w:ascii="等线" w:eastAsia="宋体" w:cs="宋体"/>
                <w:sz w:val="21"/>
                <w:highlight w:val="none"/>
                <w:lang w:val="en-US" w:eastAsia="zh-CN"/>
              </w:rPr>
              <w:t xml:space="preserve">（2）现场保障服务方案内容比较完整详细、科学合理，可行性较强，比较符合项目需求，利于项目实施的，得,4分； </w:t>
            </w:r>
          </w:p>
          <w:p w14:paraId="00F908E7">
            <w:pPr>
              <w:keepNext/>
              <w:autoSpaceDE w:val="0"/>
              <w:autoSpaceDN w:val="0"/>
              <w:adjustRightInd w:val="0"/>
              <w:snapToGrid w:val="0"/>
              <w:jc w:val="left"/>
              <w:rPr>
                <w:rFonts w:hint="eastAsia" w:ascii="等线" w:eastAsia="宋体" w:cs="宋体"/>
                <w:sz w:val="21"/>
                <w:highlight w:val="none"/>
                <w:lang w:val="en-US" w:eastAsia="zh-CN"/>
              </w:rPr>
            </w:pPr>
            <w:r>
              <w:rPr>
                <w:rFonts w:hint="eastAsia" w:ascii="等线" w:eastAsia="宋体" w:cs="宋体"/>
                <w:sz w:val="21"/>
                <w:highlight w:val="none"/>
                <w:lang w:val="en-US" w:eastAsia="zh-CN"/>
              </w:rPr>
              <w:t xml:space="preserve">（3）现场保障服务方案内容存在欠缺，可行性存在不足，与项目需求结合性有待完善的，得2分； </w:t>
            </w:r>
          </w:p>
          <w:p w14:paraId="783F2C36">
            <w:pPr>
              <w:keepNext/>
              <w:autoSpaceDE w:val="0"/>
              <w:autoSpaceDN w:val="0"/>
              <w:adjustRightInd w:val="0"/>
              <w:snapToGrid w:val="0"/>
              <w:jc w:val="left"/>
              <w:rPr>
                <w:rFonts w:hint="eastAsia" w:ascii="等线" w:eastAsia="宋体" w:cs="宋体"/>
                <w:sz w:val="21"/>
                <w:highlight w:val="none"/>
                <w:lang w:val="en-US" w:eastAsia="zh-CN"/>
              </w:rPr>
            </w:pPr>
            <w:r>
              <w:rPr>
                <w:rFonts w:hint="eastAsia" w:ascii="等线" w:eastAsia="宋体" w:cs="宋体"/>
                <w:sz w:val="21"/>
                <w:highlight w:val="none"/>
                <w:lang w:val="en-US" w:eastAsia="zh-CN"/>
              </w:rPr>
              <w:t>（4）差或未提供的，不得分。</w:t>
            </w:r>
          </w:p>
          <w:p w14:paraId="665655FB">
            <w:pPr>
              <w:keepNext/>
              <w:autoSpaceDE w:val="0"/>
              <w:autoSpaceDN w:val="0"/>
              <w:adjustRightInd w:val="0"/>
              <w:snapToGrid w:val="0"/>
              <w:jc w:val="left"/>
              <w:rPr>
                <w:rFonts w:hint="eastAsia" w:ascii="等线" w:eastAsia="宋体" w:cs="宋体"/>
                <w:b/>
                <w:bCs/>
                <w:sz w:val="21"/>
                <w:highlight w:val="none"/>
                <w:lang w:val="en-US" w:eastAsia="zh-CN"/>
              </w:rPr>
            </w:pPr>
            <w:r>
              <w:rPr>
                <w:rFonts w:hint="eastAsia" w:ascii="等线" w:eastAsia="宋体" w:cs="宋体"/>
                <w:b/>
                <w:bCs/>
                <w:sz w:val="21"/>
                <w:highlight w:val="none"/>
                <w:lang w:val="en-US" w:eastAsia="zh-CN"/>
              </w:rPr>
              <w:t>3.备品备件保障：</w:t>
            </w:r>
          </w:p>
          <w:p w14:paraId="583A740A">
            <w:pPr>
              <w:keepNext/>
              <w:autoSpaceDE w:val="0"/>
              <w:autoSpaceDN w:val="0"/>
              <w:adjustRightInd w:val="0"/>
              <w:snapToGrid w:val="0"/>
              <w:jc w:val="left"/>
              <w:rPr>
                <w:rFonts w:hint="eastAsia" w:ascii="等线" w:eastAsia="宋体" w:cs="宋体"/>
                <w:sz w:val="21"/>
                <w:highlight w:val="none"/>
                <w:lang w:val="en-US" w:eastAsia="zh-CN"/>
              </w:rPr>
            </w:pPr>
            <w:r>
              <w:rPr>
                <w:rFonts w:hint="eastAsia" w:ascii="等线" w:eastAsia="宋体" w:cs="宋体"/>
                <w:sz w:val="21"/>
                <w:highlight w:val="none"/>
                <w:lang w:val="en-US" w:eastAsia="zh-CN"/>
              </w:rPr>
              <w:t>根据供应商提供的备品备件保障情况进行综合评审：</w:t>
            </w:r>
          </w:p>
          <w:p w14:paraId="44D7F21B">
            <w:pPr>
              <w:keepNext/>
              <w:autoSpaceDE w:val="0"/>
              <w:autoSpaceDN w:val="0"/>
              <w:adjustRightInd w:val="0"/>
              <w:snapToGrid w:val="0"/>
              <w:jc w:val="left"/>
              <w:rPr>
                <w:rFonts w:hint="eastAsia" w:ascii="等线" w:eastAsia="宋体" w:cs="宋体"/>
                <w:sz w:val="21"/>
                <w:highlight w:val="none"/>
                <w:lang w:val="en-US" w:eastAsia="zh-CN"/>
              </w:rPr>
            </w:pPr>
            <w:r>
              <w:rPr>
                <w:rFonts w:hint="eastAsia" w:ascii="等线" w:eastAsia="宋体" w:cs="宋体"/>
                <w:sz w:val="21"/>
                <w:highlight w:val="none"/>
                <w:lang w:val="en-US" w:eastAsia="zh-CN"/>
              </w:rPr>
              <w:t xml:space="preserve">（1）服务过程中备品备件保障充分，更换安全及时，利于项目实施的，得4分； </w:t>
            </w:r>
          </w:p>
          <w:p w14:paraId="7D13ED1A">
            <w:pPr>
              <w:keepNext/>
              <w:autoSpaceDE w:val="0"/>
              <w:autoSpaceDN w:val="0"/>
              <w:adjustRightInd w:val="0"/>
              <w:snapToGrid w:val="0"/>
              <w:jc w:val="left"/>
              <w:rPr>
                <w:rFonts w:hint="eastAsia" w:ascii="等线" w:eastAsia="宋体" w:cs="宋体"/>
                <w:sz w:val="21"/>
                <w:highlight w:val="none"/>
                <w:lang w:val="en-US" w:eastAsia="zh-CN"/>
              </w:rPr>
            </w:pPr>
            <w:r>
              <w:rPr>
                <w:rFonts w:hint="eastAsia" w:ascii="等线" w:eastAsia="宋体" w:cs="宋体"/>
                <w:sz w:val="21"/>
                <w:highlight w:val="none"/>
                <w:lang w:val="en-US" w:eastAsia="zh-CN"/>
              </w:rPr>
              <w:t>（2）服务过程中备品备件保障较为充分，更换安全相对及时，比较利于项目实施的，得2分</w:t>
            </w:r>
            <w:bookmarkStart w:id="0" w:name="_GoBack"/>
            <w:bookmarkEnd w:id="0"/>
            <w:r>
              <w:rPr>
                <w:rFonts w:hint="eastAsia" w:ascii="等线" w:eastAsia="宋体" w:cs="宋体"/>
                <w:sz w:val="21"/>
                <w:highlight w:val="none"/>
                <w:lang w:val="en-US" w:eastAsia="zh-CN"/>
              </w:rPr>
              <w:t xml:space="preserve">； </w:t>
            </w:r>
          </w:p>
          <w:p w14:paraId="04FE3D17">
            <w:pPr>
              <w:keepNext/>
              <w:autoSpaceDE w:val="0"/>
              <w:autoSpaceDN w:val="0"/>
              <w:adjustRightInd w:val="0"/>
              <w:snapToGrid w:val="0"/>
              <w:jc w:val="left"/>
              <w:rPr>
                <w:rFonts w:hint="eastAsia" w:ascii="等线" w:eastAsia="宋体" w:cs="宋体"/>
                <w:sz w:val="21"/>
                <w:highlight w:val="none"/>
                <w:lang w:val="en-US" w:eastAsia="zh-CN"/>
              </w:rPr>
            </w:pPr>
            <w:r>
              <w:rPr>
                <w:rFonts w:hint="eastAsia" w:ascii="等线" w:eastAsia="宋体" w:cs="宋体"/>
                <w:sz w:val="21"/>
                <w:highlight w:val="none"/>
                <w:lang w:val="en-US" w:eastAsia="zh-CN"/>
              </w:rPr>
              <w:t xml:space="preserve">（3）服务过程中备品备件保障不够充分，及时性相对较差，有待完善的，得1分； </w:t>
            </w:r>
          </w:p>
          <w:p w14:paraId="7B819308">
            <w:pPr>
              <w:keepNext/>
              <w:autoSpaceDE w:val="0"/>
              <w:autoSpaceDN w:val="0"/>
              <w:adjustRightInd w:val="0"/>
              <w:snapToGrid w:val="0"/>
              <w:jc w:val="left"/>
              <w:rPr>
                <w:rFonts w:hint="eastAsia" w:ascii="等线" w:eastAsia="宋体" w:cs="宋体"/>
                <w:i w:val="0"/>
                <w:iCs w:val="0"/>
                <w:sz w:val="21"/>
                <w:highlight w:val="none"/>
              </w:rPr>
            </w:pPr>
            <w:r>
              <w:rPr>
                <w:rFonts w:hint="eastAsia" w:ascii="等线" w:eastAsia="宋体" w:cs="宋体"/>
                <w:sz w:val="21"/>
                <w:highlight w:val="none"/>
                <w:lang w:val="en-US" w:eastAsia="zh-CN"/>
              </w:rPr>
              <w:t>（4）差或未提供的，不得分。</w:t>
            </w:r>
          </w:p>
        </w:tc>
        <w:tc>
          <w:tcPr>
            <w:tcW w:w="1154" w:type="dxa"/>
            <w:tcBorders>
              <w:top w:val="single" w:color="auto" w:sz="4" w:space="0"/>
              <w:left w:val="single" w:color="auto" w:sz="4" w:space="0"/>
              <w:bottom w:val="single" w:color="auto" w:sz="4" w:space="0"/>
              <w:right w:val="single" w:color="auto" w:sz="4" w:space="0"/>
            </w:tcBorders>
            <w:vAlign w:val="center"/>
          </w:tcPr>
          <w:p w14:paraId="4928C492">
            <w:pPr>
              <w:keepNext/>
              <w:snapToGrid w:val="0"/>
              <w:jc w:val="center"/>
              <w:rPr>
                <w:rFonts w:hint="eastAsia" w:ascii="等线" w:hAnsi="宋体" w:eastAsia="宋体"/>
                <w:b/>
                <w:bCs/>
                <w:sz w:val="21"/>
                <w:highlight w:val="none"/>
                <w:lang w:val="en-US" w:eastAsia="zh-CN"/>
              </w:rPr>
            </w:pPr>
          </w:p>
          <w:p w14:paraId="0B647AE5">
            <w:pPr>
              <w:keepNext/>
              <w:snapToGrid w:val="0"/>
              <w:jc w:val="center"/>
              <w:rPr>
                <w:rFonts w:hint="eastAsia" w:ascii="等线" w:hAnsi="宋体" w:eastAsia="宋体"/>
                <w:b/>
                <w:bCs/>
                <w:sz w:val="21"/>
                <w:highlight w:val="none"/>
                <w:lang w:val="en-US" w:eastAsia="zh-CN"/>
              </w:rPr>
            </w:pPr>
          </w:p>
          <w:p w14:paraId="159F96A8">
            <w:pPr>
              <w:keepNext/>
              <w:snapToGrid w:val="0"/>
              <w:jc w:val="center"/>
              <w:rPr>
                <w:rFonts w:hint="eastAsia" w:ascii="等线" w:eastAsia="宋体"/>
                <w:b w:val="0"/>
                <w:bCs/>
                <w:sz w:val="21"/>
                <w:highlight w:val="none"/>
                <w:lang w:val="en-US" w:eastAsia="zh-CN"/>
              </w:rPr>
            </w:pPr>
          </w:p>
          <w:p w14:paraId="65ADAA44">
            <w:pPr>
              <w:keepNext/>
              <w:snapToGrid w:val="0"/>
              <w:jc w:val="center"/>
              <w:rPr>
                <w:rFonts w:hint="eastAsia" w:ascii="等线" w:eastAsia="宋体"/>
                <w:b w:val="0"/>
                <w:bCs/>
                <w:sz w:val="21"/>
                <w:highlight w:val="none"/>
                <w:lang w:val="en-US" w:eastAsia="zh-CN"/>
              </w:rPr>
            </w:pPr>
          </w:p>
          <w:p w14:paraId="5BD57944">
            <w:pPr>
              <w:keepNext/>
              <w:snapToGrid w:val="0"/>
              <w:jc w:val="center"/>
              <w:rPr>
                <w:rFonts w:hint="eastAsia" w:ascii="等线" w:eastAsia="宋体"/>
                <w:b w:val="0"/>
                <w:bCs/>
                <w:sz w:val="21"/>
                <w:highlight w:val="none"/>
                <w:lang w:val="en-US" w:eastAsia="zh-CN"/>
              </w:rPr>
            </w:pPr>
          </w:p>
          <w:p w14:paraId="56EA5386">
            <w:pPr>
              <w:keepNext/>
              <w:snapToGrid w:val="0"/>
              <w:jc w:val="center"/>
              <w:rPr>
                <w:rFonts w:hint="eastAsia" w:ascii="等线" w:eastAsia="宋体"/>
                <w:b w:val="0"/>
                <w:bCs/>
                <w:sz w:val="21"/>
                <w:highlight w:val="none"/>
                <w:lang w:val="en-US" w:eastAsia="zh-CN"/>
              </w:rPr>
            </w:pPr>
          </w:p>
          <w:p w14:paraId="37609B40">
            <w:pPr>
              <w:keepNext/>
              <w:snapToGrid w:val="0"/>
              <w:jc w:val="center"/>
              <w:rPr>
                <w:rFonts w:hint="eastAsia" w:ascii="等线" w:eastAsia="宋体"/>
                <w:b w:val="0"/>
                <w:bCs/>
                <w:sz w:val="21"/>
                <w:highlight w:val="none"/>
                <w:lang w:val="en-US" w:eastAsia="zh-CN"/>
              </w:rPr>
            </w:pPr>
          </w:p>
          <w:p w14:paraId="0F6C61C5">
            <w:pPr>
              <w:keepNext/>
              <w:snapToGrid w:val="0"/>
              <w:jc w:val="center"/>
              <w:rPr>
                <w:rFonts w:ascii="等线" w:eastAsia="宋体"/>
                <w:b w:val="0"/>
                <w:bCs/>
                <w:sz w:val="21"/>
                <w:highlight w:val="none"/>
              </w:rPr>
            </w:pPr>
            <w:r>
              <w:rPr>
                <w:rFonts w:hint="eastAsia" w:ascii="等线" w:eastAsia="宋体"/>
                <w:b w:val="0"/>
                <w:bCs/>
                <w:sz w:val="21"/>
                <w:highlight w:val="none"/>
                <w:lang w:val="en-US" w:eastAsia="zh-CN"/>
              </w:rPr>
              <w:t>0-18分</w:t>
            </w:r>
          </w:p>
        </w:tc>
      </w:tr>
      <w:tr w14:paraId="10AB1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2476" w:type="dxa"/>
            <w:vMerge w:val="continue"/>
            <w:tcBorders>
              <w:left w:val="single" w:color="auto" w:sz="4" w:space="0"/>
              <w:right w:val="single" w:color="auto" w:sz="4" w:space="0"/>
            </w:tcBorders>
            <w:vAlign w:val="center"/>
          </w:tcPr>
          <w:p w14:paraId="2660AC14">
            <w:pPr>
              <w:keepNext/>
              <w:snapToGrid w:val="0"/>
              <w:jc w:val="center"/>
              <w:rPr>
                <w:rFonts w:ascii="等线" w:eastAsia="宋体"/>
                <w:b/>
                <w:bCs/>
                <w:sz w:val="21"/>
              </w:rPr>
            </w:pPr>
          </w:p>
        </w:tc>
        <w:tc>
          <w:tcPr>
            <w:tcW w:w="5346" w:type="dxa"/>
            <w:tcBorders>
              <w:top w:val="single" w:color="auto" w:sz="4" w:space="0"/>
              <w:left w:val="single" w:color="auto" w:sz="4" w:space="0"/>
              <w:bottom w:val="single" w:color="auto" w:sz="4" w:space="0"/>
              <w:right w:val="single" w:color="auto" w:sz="4" w:space="0"/>
            </w:tcBorders>
            <w:vAlign w:val="center"/>
          </w:tcPr>
          <w:p w14:paraId="03A151C6">
            <w:pPr>
              <w:keepNext/>
              <w:autoSpaceDE w:val="0"/>
              <w:autoSpaceDN w:val="0"/>
              <w:adjustRightInd w:val="0"/>
              <w:snapToGrid w:val="0"/>
              <w:jc w:val="left"/>
              <w:rPr>
                <w:rFonts w:hint="eastAsia" w:ascii="等线" w:eastAsia="宋体" w:cs="宋体"/>
                <w:b/>
                <w:bCs/>
                <w:sz w:val="21"/>
                <w:lang w:val="en-US" w:eastAsia="zh-CN"/>
              </w:rPr>
            </w:pPr>
            <w:r>
              <w:rPr>
                <w:rFonts w:hint="eastAsia" w:ascii="等线" w:eastAsia="宋体" w:cs="宋体"/>
                <w:b/>
                <w:bCs/>
                <w:sz w:val="21"/>
                <w:lang w:val="en-US" w:eastAsia="zh-CN"/>
              </w:rPr>
              <w:t>应急保障服务：</w:t>
            </w:r>
          </w:p>
          <w:p w14:paraId="2CC7A6DD">
            <w:pPr>
              <w:keepNext/>
              <w:autoSpaceDE w:val="0"/>
              <w:autoSpaceDN w:val="0"/>
              <w:adjustRightInd w:val="0"/>
              <w:snapToGrid w:val="0"/>
              <w:jc w:val="left"/>
              <w:rPr>
                <w:rFonts w:hint="eastAsia" w:ascii="等线" w:eastAsia="宋体" w:cs="宋体"/>
                <w:sz w:val="21"/>
                <w:lang w:val="en-US" w:eastAsia="zh-CN"/>
              </w:rPr>
            </w:pPr>
            <w:r>
              <w:rPr>
                <w:rFonts w:hint="eastAsia" w:ascii="等线" w:eastAsia="宋体" w:cs="宋体"/>
                <w:sz w:val="21"/>
                <w:lang w:val="en-US" w:eastAsia="zh-CN"/>
              </w:rPr>
              <w:t>根据供应商提供的针对服务过程中的突发事件（如设备故障等）的应急保障预案进行综合评审：</w:t>
            </w:r>
          </w:p>
          <w:p w14:paraId="4FB7D402">
            <w:pPr>
              <w:keepNext/>
              <w:autoSpaceDE w:val="0"/>
              <w:autoSpaceDN w:val="0"/>
              <w:adjustRightInd w:val="0"/>
              <w:snapToGrid w:val="0"/>
              <w:jc w:val="left"/>
              <w:rPr>
                <w:rFonts w:hint="eastAsia" w:ascii="等线" w:eastAsia="宋体" w:cs="宋体"/>
                <w:sz w:val="21"/>
                <w:lang w:val="en-US" w:eastAsia="zh-CN"/>
              </w:rPr>
            </w:pPr>
            <w:r>
              <w:rPr>
                <w:rFonts w:hint="eastAsia" w:ascii="等线" w:eastAsia="宋体" w:cs="宋体"/>
                <w:sz w:val="21"/>
                <w:lang w:val="en-US" w:eastAsia="zh-CN"/>
              </w:rPr>
              <w:t>1.应急保障预案具体、细致、完善，合理性、可行性强的，得6分；</w:t>
            </w:r>
          </w:p>
          <w:p w14:paraId="24390492">
            <w:pPr>
              <w:keepNext/>
              <w:autoSpaceDE w:val="0"/>
              <w:autoSpaceDN w:val="0"/>
              <w:adjustRightInd w:val="0"/>
              <w:snapToGrid w:val="0"/>
              <w:jc w:val="left"/>
              <w:rPr>
                <w:rFonts w:hint="eastAsia" w:ascii="等线" w:eastAsia="宋体" w:cs="宋体"/>
                <w:sz w:val="21"/>
                <w:lang w:val="en-US" w:eastAsia="zh-CN"/>
              </w:rPr>
            </w:pPr>
            <w:r>
              <w:rPr>
                <w:rFonts w:hint="eastAsia" w:ascii="等线" w:eastAsia="宋体" w:cs="宋体"/>
                <w:sz w:val="21"/>
                <w:lang w:val="en-US" w:eastAsia="zh-CN"/>
              </w:rPr>
              <w:t>2.应急保障预案较为具体、细致，合理性、可行性较强的，得4分；</w:t>
            </w:r>
          </w:p>
          <w:p w14:paraId="35C49C4C">
            <w:pPr>
              <w:keepNext/>
              <w:autoSpaceDE w:val="0"/>
              <w:autoSpaceDN w:val="0"/>
              <w:adjustRightInd w:val="0"/>
              <w:snapToGrid w:val="0"/>
              <w:jc w:val="left"/>
              <w:rPr>
                <w:rFonts w:hint="eastAsia" w:ascii="等线" w:eastAsia="宋体" w:cs="宋体"/>
                <w:sz w:val="21"/>
                <w:lang w:val="en-US" w:eastAsia="zh-CN"/>
              </w:rPr>
            </w:pPr>
            <w:r>
              <w:rPr>
                <w:rFonts w:hint="eastAsia" w:ascii="等线" w:eastAsia="宋体" w:cs="宋体"/>
                <w:sz w:val="21"/>
                <w:lang w:val="en-US" w:eastAsia="zh-CN"/>
              </w:rPr>
              <w:t>3.应急保障预案较为简单，合理性、可行性有待提升的，得2分；</w:t>
            </w:r>
          </w:p>
          <w:p w14:paraId="342BD22D">
            <w:pPr>
              <w:keepNext/>
              <w:autoSpaceDE w:val="0"/>
              <w:autoSpaceDN w:val="0"/>
              <w:adjustRightInd w:val="0"/>
              <w:snapToGrid w:val="0"/>
              <w:jc w:val="left"/>
              <w:rPr>
                <w:rFonts w:hint="eastAsia" w:ascii="等线" w:eastAsia="宋体" w:cs="宋体"/>
                <w:sz w:val="21"/>
                <w:lang w:val="en-US" w:eastAsia="zh-CN"/>
              </w:rPr>
            </w:pPr>
            <w:r>
              <w:rPr>
                <w:rFonts w:hint="eastAsia" w:ascii="等线" w:eastAsia="宋体" w:cs="宋体"/>
                <w:sz w:val="21"/>
                <w:lang w:val="en-US" w:eastAsia="zh-CN"/>
              </w:rPr>
              <w:t>4.方案差或未提供方案的不得分。</w:t>
            </w:r>
          </w:p>
        </w:tc>
        <w:tc>
          <w:tcPr>
            <w:tcW w:w="1154" w:type="dxa"/>
            <w:tcBorders>
              <w:top w:val="single" w:color="auto" w:sz="4" w:space="0"/>
              <w:left w:val="single" w:color="auto" w:sz="4" w:space="0"/>
              <w:bottom w:val="single" w:color="auto" w:sz="4" w:space="0"/>
              <w:right w:val="single" w:color="auto" w:sz="4" w:space="0"/>
            </w:tcBorders>
            <w:vAlign w:val="center"/>
          </w:tcPr>
          <w:p w14:paraId="249F410D">
            <w:pPr>
              <w:keepNext/>
              <w:snapToGrid w:val="0"/>
              <w:jc w:val="center"/>
              <w:rPr>
                <w:rFonts w:hint="eastAsia" w:ascii="等线" w:eastAsia="宋体"/>
                <w:b w:val="0"/>
                <w:bCs/>
                <w:sz w:val="21"/>
                <w:lang w:val="en-US" w:eastAsia="zh-CN"/>
              </w:rPr>
            </w:pPr>
            <w:r>
              <w:rPr>
                <w:rFonts w:hint="eastAsia" w:ascii="等线" w:eastAsia="宋体"/>
                <w:b w:val="0"/>
                <w:bCs/>
                <w:sz w:val="21"/>
                <w:lang w:val="en-US" w:eastAsia="zh-CN"/>
              </w:rPr>
              <w:t>0-6分</w:t>
            </w:r>
          </w:p>
        </w:tc>
      </w:tr>
      <w:tr w14:paraId="790E4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2476" w:type="dxa"/>
            <w:vMerge w:val="continue"/>
            <w:tcBorders>
              <w:left w:val="single" w:color="auto" w:sz="4" w:space="0"/>
              <w:bottom w:val="single" w:color="auto" w:sz="4" w:space="0"/>
              <w:right w:val="single" w:color="auto" w:sz="4" w:space="0"/>
            </w:tcBorders>
            <w:vAlign w:val="center"/>
          </w:tcPr>
          <w:p w14:paraId="3247C2AA">
            <w:pPr>
              <w:keepNext/>
              <w:snapToGrid w:val="0"/>
              <w:jc w:val="center"/>
              <w:rPr>
                <w:rFonts w:ascii="等线" w:eastAsia="宋体"/>
                <w:b/>
                <w:bCs/>
                <w:sz w:val="21"/>
              </w:rPr>
            </w:pPr>
          </w:p>
        </w:tc>
        <w:tc>
          <w:tcPr>
            <w:tcW w:w="5346" w:type="dxa"/>
            <w:tcBorders>
              <w:top w:val="single" w:color="auto" w:sz="4" w:space="0"/>
              <w:left w:val="single" w:color="auto" w:sz="4" w:space="0"/>
              <w:bottom w:val="single" w:color="auto" w:sz="4" w:space="0"/>
              <w:right w:val="single" w:color="auto" w:sz="4" w:space="0"/>
            </w:tcBorders>
            <w:vAlign w:val="center"/>
          </w:tcPr>
          <w:p w14:paraId="188D2E52">
            <w:pPr>
              <w:keepNext/>
              <w:autoSpaceDE w:val="0"/>
              <w:autoSpaceDN w:val="0"/>
              <w:adjustRightInd w:val="0"/>
              <w:snapToGrid w:val="0"/>
              <w:jc w:val="left"/>
              <w:rPr>
                <w:rFonts w:hint="eastAsia" w:ascii="等线" w:eastAsia="宋体" w:cs="宋体"/>
                <w:b/>
                <w:bCs/>
                <w:sz w:val="21"/>
                <w:lang w:val="en-US" w:eastAsia="zh-CN"/>
              </w:rPr>
            </w:pPr>
            <w:r>
              <w:rPr>
                <w:rFonts w:hint="eastAsia" w:ascii="等线" w:eastAsia="宋体" w:cs="宋体"/>
                <w:b/>
                <w:bCs/>
                <w:sz w:val="21"/>
                <w:lang w:val="en-US" w:eastAsia="zh-CN"/>
              </w:rPr>
              <w:t>安全保障服务：</w:t>
            </w:r>
          </w:p>
          <w:p w14:paraId="0C13A06A">
            <w:pPr>
              <w:keepNext/>
              <w:autoSpaceDE w:val="0"/>
              <w:autoSpaceDN w:val="0"/>
              <w:adjustRightInd w:val="0"/>
              <w:snapToGrid w:val="0"/>
              <w:jc w:val="left"/>
              <w:rPr>
                <w:rFonts w:hint="eastAsia" w:ascii="等线" w:eastAsia="宋体" w:cs="宋体"/>
                <w:sz w:val="21"/>
                <w:lang w:val="en-US" w:eastAsia="zh-CN"/>
              </w:rPr>
            </w:pPr>
            <w:r>
              <w:rPr>
                <w:rFonts w:hint="eastAsia" w:ascii="等线" w:eastAsia="宋体" w:cs="宋体"/>
                <w:sz w:val="21"/>
                <w:lang w:val="en-US" w:eastAsia="zh-CN"/>
              </w:rPr>
              <w:t>根据供应商提供的针对服务过程中的安全（比如设备安全、人身安全等）保障预案进行综合评审：</w:t>
            </w:r>
          </w:p>
          <w:p w14:paraId="65DEE276">
            <w:pPr>
              <w:keepNext/>
              <w:autoSpaceDE w:val="0"/>
              <w:autoSpaceDN w:val="0"/>
              <w:adjustRightInd w:val="0"/>
              <w:snapToGrid w:val="0"/>
              <w:jc w:val="left"/>
              <w:rPr>
                <w:rFonts w:hint="eastAsia" w:ascii="等线" w:eastAsia="宋体" w:cs="宋体"/>
                <w:sz w:val="21"/>
                <w:lang w:val="en-US" w:eastAsia="zh-CN"/>
              </w:rPr>
            </w:pPr>
            <w:r>
              <w:rPr>
                <w:rFonts w:hint="eastAsia" w:ascii="等线" w:eastAsia="宋体" w:cs="宋体"/>
                <w:sz w:val="21"/>
                <w:lang w:val="en-US" w:eastAsia="zh-CN"/>
              </w:rPr>
              <w:t>1.措施详细、完善，具有针对性和可行性的，得6分；</w:t>
            </w:r>
          </w:p>
          <w:p w14:paraId="43D5303B">
            <w:pPr>
              <w:keepNext/>
              <w:autoSpaceDE w:val="0"/>
              <w:autoSpaceDN w:val="0"/>
              <w:adjustRightInd w:val="0"/>
              <w:snapToGrid w:val="0"/>
              <w:jc w:val="left"/>
              <w:rPr>
                <w:rFonts w:hint="eastAsia" w:ascii="等线" w:eastAsia="宋体" w:cs="宋体"/>
                <w:sz w:val="21"/>
                <w:lang w:val="en-US" w:eastAsia="zh-CN"/>
              </w:rPr>
            </w:pPr>
            <w:r>
              <w:rPr>
                <w:rFonts w:hint="eastAsia" w:ascii="等线" w:eastAsia="宋体" w:cs="宋体"/>
                <w:sz w:val="21"/>
                <w:lang w:val="en-US" w:eastAsia="zh-CN"/>
              </w:rPr>
              <w:t>2.措施比较详细，具有一定的针对性的，得4分；</w:t>
            </w:r>
          </w:p>
          <w:p w14:paraId="63E84EC1">
            <w:pPr>
              <w:keepNext/>
              <w:autoSpaceDE w:val="0"/>
              <w:autoSpaceDN w:val="0"/>
              <w:adjustRightInd w:val="0"/>
              <w:snapToGrid w:val="0"/>
              <w:jc w:val="left"/>
              <w:rPr>
                <w:rFonts w:hint="eastAsia" w:ascii="等线" w:eastAsia="宋体" w:cs="宋体"/>
                <w:sz w:val="21"/>
                <w:lang w:val="en-US" w:eastAsia="zh-CN"/>
              </w:rPr>
            </w:pPr>
            <w:r>
              <w:rPr>
                <w:rFonts w:hint="eastAsia" w:ascii="等线" w:eastAsia="宋体" w:cs="宋体"/>
                <w:sz w:val="21"/>
                <w:lang w:val="en-US" w:eastAsia="zh-CN"/>
              </w:rPr>
              <w:t>3.内容需要进一步完善的，得2分；</w:t>
            </w:r>
          </w:p>
          <w:p w14:paraId="015D2AD3">
            <w:pPr>
              <w:keepNext/>
              <w:autoSpaceDE w:val="0"/>
              <w:autoSpaceDN w:val="0"/>
              <w:adjustRightInd w:val="0"/>
              <w:snapToGrid w:val="0"/>
              <w:jc w:val="left"/>
              <w:rPr>
                <w:rFonts w:hint="eastAsia" w:ascii="等线" w:eastAsia="宋体" w:cs="宋体"/>
                <w:sz w:val="21"/>
                <w:lang w:val="en-US" w:eastAsia="zh-CN"/>
              </w:rPr>
            </w:pPr>
            <w:r>
              <w:rPr>
                <w:rFonts w:hint="eastAsia" w:ascii="等线" w:eastAsia="宋体" w:cs="宋体"/>
                <w:sz w:val="21"/>
                <w:lang w:val="en-US" w:eastAsia="zh-CN"/>
              </w:rPr>
              <w:t>4.差或未提供的不得分。</w:t>
            </w:r>
          </w:p>
        </w:tc>
        <w:tc>
          <w:tcPr>
            <w:tcW w:w="1154" w:type="dxa"/>
            <w:tcBorders>
              <w:top w:val="single" w:color="auto" w:sz="4" w:space="0"/>
              <w:left w:val="single" w:color="auto" w:sz="4" w:space="0"/>
              <w:bottom w:val="single" w:color="auto" w:sz="4" w:space="0"/>
              <w:right w:val="single" w:color="auto" w:sz="4" w:space="0"/>
            </w:tcBorders>
            <w:vAlign w:val="center"/>
          </w:tcPr>
          <w:p w14:paraId="03FF963D">
            <w:pPr>
              <w:keepNext/>
              <w:snapToGrid w:val="0"/>
              <w:jc w:val="center"/>
              <w:rPr>
                <w:rFonts w:hint="eastAsia" w:ascii="等线" w:eastAsia="宋体"/>
                <w:b w:val="0"/>
                <w:bCs/>
                <w:sz w:val="21"/>
                <w:lang w:val="en-US" w:eastAsia="zh-CN"/>
              </w:rPr>
            </w:pPr>
          </w:p>
          <w:p w14:paraId="7F19D131">
            <w:pPr>
              <w:keepNext/>
              <w:snapToGrid w:val="0"/>
              <w:jc w:val="center"/>
              <w:rPr>
                <w:rFonts w:hint="eastAsia" w:ascii="等线" w:eastAsia="宋体"/>
                <w:b w:val="0"/>
                <w:bCs/>
                <w:sz w:val="21"/>
                <w:lang w:val="en-US" w:eastAsia="zh-CN"/>
              </w:rPr>
            </w:pPr>
            <w:r>
              <w:rPr>
                <w:rFonts w:hint="eastAsia" w:ascii="等线" w:eastAsia="宋体"/>
                <w:b w:val="0"/>
                <w:bCs/>
                <w:sz w:val="21"/>
                <w:lang w:val="en-US" w:eastAsia="zh-CN"/>
              </w:rPr>
              <w:t>0-6分</w:t>
            </w:r>
          </w:p>
        </w:tc>
      </w:tr>
      <w:tr w14:paraId="66819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2476" w:type="dxa"/>
            <w:tcBorders>
              <w:top w:val="single" w:color="auto" w:sz="4" w:space="0"/>
              <w:left w:val="single" w:color="auto" w:sz="4" w:space="0"/>
              <w:bottom w:val="single" w:color="auto" w:sz="4" w:space="0"/>
              <w:right w:val="single" w:color="auto" w:sz="4" w:space="0"/>
            </w:tcBorders>
            <w:vAlign w:val="center"/>
          </w:tcPr>
          <w:p w14:paraId="2067373F">
            <w:pPr>
              <w:keepNext/>
              <w:snapToGrid w:val="0"/>
              <w:jc w:val="center"/>
              <w:rPr>
                <w:rFonts w:hint="eastAsia" w:ascii="宋体" w:hAnsi="宋体" w:eastAsia="宋体" w:cs="宋体"/>
                <w:b w:val="0"/>
                <w:bCs w:val="0"/>
                <w:lang w:val="en-US" w:eastAsia="zh-CN"/>
              </w:rPr>
            </w:pPr>
            <w:r>
              <w:rPr>
                <w:rFonts w:hint="eastAsia" w:ascii="宋体" w:hAnsi="宋体" w:eastAsia="宋体" w:cs="宋体"/>
                <w:b w:val="0"/>
                <w:bCs w:val="0"/>
                <w:lang w:val="en-US" w:eastAsia="zh-CN"/>
              </w:rPr>
              <w:t>价格分</w:t>
            </w:r>
          </w:p>
          <w:p w14:paraId="31EFE551">
            <w:pPr>
              <w:keepNext/>
              <w:snapToGrid w:val="0"/>
              <w:jc w:val="center"/>
              <w:rPr>
                <w:rFonts w:hint="eastAsia" w:eastAsiaTheme="minorEastAsia"/>
                <w:b/>
                <w:bCs/>
                <w:lang w:val="en-US" w:eastAsia="zh-CN"/>
              </w:rPr>
            </w:pPr>
            <w:r>
              <w:rPr>
                <w:rFonts w:hint="eastAsia" w:ascii="宋体" w:hAnsi="宋体" w:eastAsia="宋体" w:cs="宋体"/>
                <w:b w:val="0"/>
                <w:bCs w:val="0"/>
                <w:lang w:val="en-US" w:eastAsia="zh-CN"/>
              </w:rPr>
              <w:t>（ 20 分）</w:t>
            </w:r>
          </w:p>
        </w:tc>
        <w:tc>
          <w:tcPr>
            <w:tcW w:w="5346" w:type="dxa"/>
            <w:tcBorders>
              <w:top w:val="single" w:color="auto" w:sz="4" w:space="0"/>
              <w:left w:val="single" w:color="auto" w:sz="4" w:space="0"/>
              <w:bottom w:val="single" w:color="auto" w:sz="4" w:space="0"/>
              <w:right w:val="single" w:color="auto" w:sz="4" w:space="0"/>
            </w:tcBorders>
            <w:vAlign w:val="center"/>
          </w:tcPr>
          <w:p w14:paraId="29E29EFB">
            <w:pPr>
              <w:keepNext/>
              <w:autoSpaceDE w:val="0"/>
              <w:autoSpaceDN w:val="0"/>
              <w:adjustRightInd w:val="0"/>
              <w:snapToGrid w:val="0"/>
              <w:jc w:val="center"/>
              <w:rPr>
                <w:rFonts w:hint="eastAsia" w:eastAsia="宋体" w:cs="宋体"/>
                <w:lang w:val="en-US" w:eastAsia="zh-CN"/>
              </w:rPr>
            </w:pPr>
            <w:r>
              <w:rPr>
                <w:rFonts w:hint="eastAsia" w:eastAsia="宋体" w:cs="宋体"/>
                <w:lang w:val="en-US" w:eastAsia="zh-CN"/>
              </w:rPr>
              <w:t>价格分统一采用低价优先法，即满足磋商文件要求且价格最低的最后报价为磋商基准价，其价格分为满分 20 分。</w:t>
            </w:r>
          </w:p>
          <w:p w14:paraId="52D9565A">
            <w:pPr>
              <w:keepNext/>
              <w:autoSpaceDE w:val="0"/>
              <w:autoSpaceDN w:val="0"/>
              <w:adjustRightInd w:val="0"/>
              <w:snapToGrid w:val="0"/>
              <w:jc w:val="both"/>
              <w:rPr>
                <w:rFonts w:hint="eastAsia" w:eastAsia="宋体" w:cs="宋体"/>
                <w:lang w:val="en-US" w:eastAsia="zh-CN"/>
              </w:rPr>
            </w:pPr>
            <w:r>
              <w:rPr>
                <w:rFonts w:hint="eastAsia" w:eastAsia="宋体" w:cs="宋体"/>
                <w:lang w:val="en-US" w:eastAsia="zh-CN"/>
              </w:rPr>
              <w:t>其他供应商的价格分统一按照下列公式计算：</w:t>
            </w:r>
          </w:p>
          <w:p w14:paraId="41CBFB45">
            <w:pPr>
              <w:keepNext/>
              <w:autoSpaceDE w:val="0"/>
              <w:autoSpaceDN w:val="0"/>
              <w:adjustRightInd w:val="0"/>
              <w:snapToGrid w:val="0"/>
              <w:jc w:val="center"/>
              <w:rPr>
                <w:rFonts w:hint="eastAsia" w:eastAsia="宋体" w:cs="宋体"/>
                <w:lang w:val="en-US" w:eastAsia="zh-CN"/>
              </w:rPr>
            </w:pPr>
            <w:r>
              <w:rPr>
                <w:rFonts w:hint="eastAsia" w:eastAsia="宋体" w:cs="宋体"/>
                <w:lang w:val="en-US" w:eastAsia="zh-CN"/>
              </w:rPr>
              <w:t>最后报价得分＝（磋商基准价/最后报价）× 20 ％×100</w:t>
            </w:r>
          </w:p>
        </w:tc>
        <w:tc>
          <w:tcPr>
            <w:tcW w:w="1154" w:type="dxa"/>
            <w:tcBorders>
              <w:top w:val="single" w:color="auto" w:sz="4" w:space="0"/>
              <w:left w:val="single" w:color="auto" w:sz="4" w:space="0"/>
              <w:bottom w:val="single" w:color="auto" w:sz="4" w:space="0"/>
              <w:right w:val="single" w:color="auto" w:sz="4" w:space="0"/>
            </w:tcBorders>
            <w:vAlign w:val="center"/>
          </w:tcPr>
          <w:p w14:paraId="2FCCA068">
            <w:pPr>
              <w:keepNext/>
              <w:snapToGrid w:val="0"/>
              <w:jc w:val="center"/>
              <w:rPr>
                <w:rFonts w:hint="eastAsia"/>
                <w:b w:val="0"/>
                <w:bCs/>
                <w:lang w:val="en-US" w:eastAsia="zh-CN"/>
              </w:rPr>
            </w:pPr>
          </w:p>
        </w:tc>
      </w:tr>
    </w:tbl>
    <w:p w14:paraId="2B2939BD"/>
    <w:sectPr>
      <w:pgSz w:w="11906" w:h="16838"/>
      <w:pgMar w:top="93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14 14">
    <w:altName w:val="黑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宋体">
    <w:panose1 w:val="02010600030101010101"/>
    <w:charset w:val="86"/>
    <w:family w:val="auto"/>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EEED4F"/>
    <w:multiLevelType w:val="singleLevel"/>
    <w:tmpl w:val="B4EEED4F"/>
    <w:lvl w:ilvl="0" w:tentative="0">
      <w:start w:val="1"/>
      <w:numFmt w:val="decimal"/>
      <w:suff w:val="nothing"/>
      <w:lvlText w:val="%1、"/>
      <w:lvlJc w:val="left"/>
    </w:lvl>
  </w:abstractNum>
  <w:abstractNum w:abstractNumId="1">
    <w:nsid w:val="F95AA273"/>
    <w:multiLevelType w:val="singleLevel"/>
    <w:tmpl w:val="F95AA273"/>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5D7CF6"/>
    <w:rsid w:val="1C5D7C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pPr>
    <w:rPr>
      <w:rFonts w:ascii="@微软简标宋" w:hAnsi="@微软简标宋" w:eastAsia="@微软简标宋" w:cs="@微软简标宋"/>
      <w:szCs w:val="24"/>
      <w:lang w:val="zh-CN"/>
    </w:rPr>
  </w:style>
  <w:style w:type="paragraph" w:styleId="3">
    <w:name w:val="Body Text First Indent"/>
    <w:basedOn w:val="2"/>
    <w:unhideWhenUsed/>
    <w:qFormat/>
    <w:uiPriority w:val="99"/>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2026-10-08T02:37:00Z</dcterms:created>
  <dc:creator>lenovo</dc:creator>
  <cp:lastModifiedBy>lenovo</cp:lastModifiedBy>
  <dcterms:modified xsi:type="dcterms:W3CDTF">2026-10-08T02:39:51Z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9F3C738CBDDB4820988EE4E9C83A6AEA_11</vt:lpwstr>
  </property>
  <property fmtid="{D5CDD505-2E9C-101B-9397-08002B2CF9AE}" pid="4" name="KSOTemplateDocerSaveRecord">
    <vt:lpwstr>eyJoZGlkIjoiZjRhMGQyOGQ3ZTgxOWQyODk3YWMwYjY1NjQyYjU3MTIiLCJ1c2VySWQiOiI0NDM3NzQ5NzgifQ==</vt:lpwstr>
  </property>
</Properties>
</file>