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A3318">
      <w:pPr>
        <w:pStyle w:val="2"/>
        <w:bidi w:val="0"/>
        <w:spacing w:line="240" w:lineRule="auto"/>
        <w:rPr>
          <w:rFonts w:hint="eastAsia" w:ascii="宋体" w:hAnsi="宋体" w:eastAsia="宋体" w:cs="宋体"/>
          <w:color w:val="auto"/>
          <w:sz w:val="32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21"/>
          <w:lang w:val="en-US" w:eastAsia="zh-CN"/>
        </w:rPr>
        <w:t>附件（一）</w:t>
      </w:r>
    </w:p>
    <w:p w14:paraId="607B6B79">
      <w:pPr>
        <w:pStyle w:val="3"/>
        <w:bidi w:val="0"/>
        <w:spacing w:line="240" w:lineRule="auto"/>
        <w:rPr>
          <w:rFonts w:hint="eastAsia" w:ascii="宋体" w:hAnsi="宋体" w:eastAsia="宋体" w:cs="宋体"/>
          <w:color w:val="auto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1"/>
          <w:lang w:val="en-US" w:eastAsia="zh-CN"/>
        </w:rPr>
        <w:t>一、主要功能参数</w:t>
      </w:r>
    </w:p>
    <w:p w14:paraId="51568308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活动的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课程化建设</w:t>
      </w:r>
    </w:p>
    <w:p w14:paraId="543CFD36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建设覆盖面广、模块完善的第二课堂课程体系，构建具有时代性、富有高校特色的精品课程库。在真实客观、科学严谨地记录学生参加各项课外活动、从事团学工作等情况和取得的各类成绩的基础上，既需要有效借鉴第一课堂在管理、评价、考核等方面的内在机理与工作模式，同时也要凸显第二课堂的自身特色，不断挖掘第二课堂培养人才的规律，通过不断完善各级别课程库及课程化体系建设，逐步形成学校第二课堂的教学方案与计划。并通过校内课程、实习实训，努力实现社会需求与学生能力契合、人才培养个性与共性结合、学生选修自选与必选并存、素质与能力互长的目标，从而进一步完善第二课堂和第一课堂协同育人机制。充分发挥第二课堂在人才培养中的作用，促进和引导学生德智体美劳全面发展，推动形成一批饱含时代特征、彰显学校内涵、充满向上动能的第二课堂活动与课程品牌。</w:t>
      </w:r>
    </w:p>
    <w:p w14:paraId="6DB5AEAF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课程库建设</w:t>
      </w:r>
    </w:p>
    <w:p w14:paraId="5BBD816E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8"/>
        </w:rPr>
        <w:t>对课程内容、教学资源进行整合，设立丰富的、系统的课程资源库。支持在学年开始时录入课程内容，包括课程名称、归属单位、课程级别、课程分类、课程学时、课程简介、课程海报等相关要求以形成课程计划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t>（本条为关键技术参数，必须全部满足，必须提供产品功能截图。不允许负偏离如有一项负偏离作无效标处理。）</w:t>
      </w:r>
    </w:p>
    <w:p w14:paraId="7AE8DF2A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课程库管理</w:t>
      </w:r>
    </w:p>
    <w:p w14:paraId="7E224CF6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按照《蚌埠学院“第二课堂成绩单”制度实施方案（试行）》中第二课堂活动学分通用标准，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实现各类第二课堂活动以课程化的方式进行立项、维护、调取等全流程管理，最终实现第二课堂活动的课程化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课程活动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增加奖项等次学时，等次分别为第一等次，第二等次，第三等次，第三等次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t>（本条为关键技术参数，必须全部满足，必须提供产品功能截图。不允许负偏离如有一项负偏离作无效标处理。）</w:t>
      </w:r>
    </w:p>
    <w:p w14:paraId="03A07212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3.第二课堂学分的转换认定</w:t>
      </w:r>
    </w:p>
    <w:p w14:paraId="7660F002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按照《蚌埠学院“第二课堂成绩单”制度实施方案（试行）》中思想政治、专业拓展模块学分转换认定的要求，设计开发学生第二课堂任职经历、荣誉表彰、社会责任担当、大学生创新创业训练计划、论文发表、知识产权、创业孵化、专业技能等级证书等转换认定学分结果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</w:rPr>
        <w:t>（本条为关键技术参数，必须全部满足，必须提供产品功能截图。不允许负偏离如有一项负偏离作无效标处理。）</w:t>
      </w:r>
    </w:p>
    <w:p w14:paraId="76F08800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4.2024级以前学生及专升本专业学生第二课堂成绩单的生成。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（响应文件中提供成绩单生成承诺函。承诺函格式自拟，需包含上述要求，不满足的视为响应无效）。</w:t>
      </w:r>
    </w:p>
    <w:p w14:paraId="1BD67DD1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  <w:t>（二）团务办公</w:t>
      </w:r>
    </w:p>
    <w:p w14:paraId="50B60A8A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实现对学校各级团组织的信息化管理，包括团组织架构的建立与维护、团员信息的录入与更新、团干部信息的管理与考核等。团委可以通过平台清晰地了解各级团组织的人员构成、组织活动情况等信息，便于进行组织协调和工作部署。同时提供其他综合团务事项工作管理功能。</w:t>
      </w:r>
    </w:p>
    <w:p w14:paraId="0015F5D1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  <w:t>1.问卷管理</w:t>
      </w:r>
    </w:p>
    <w:p w14:paraId="7DA1F03B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实现创建多种问卷模板、多题型题库；支持在线发布问卷测评，实现问卷调查、测评，可统计分析答题用户的参与率、正确率等测评结果。</w:t>
      </w:r>
    </w:p>
    <w:p w14:paraId="6E5F48C0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  <w:t>2.场地管理</w:t>
      </w:r>
    </w:p>
    <w:p w14:paraId="70F39F57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在活动开展前，学生可申请、选取多种类型的场地资源；可通过日程的方式呈现场地使用情况，审核通过后即可使用。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（本条为关键技术参数，必须全部满足，必须提供产品功能截图。不允许负偏离如有一项负偏离作无效标处理。）</w:t>
      </w:r>
    </w:p>
    <w:p w14:paraId="6691BDA1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  <w:t>3.黑名单管理</w:t>
      </w:r>
    </w:p>
    <w:p w14:paraId="505CB1DF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实现对学生第二课堂参与情况如活动违纪、发布不良言论等违规行为的记录，拉入黑名单将限制学生用户对于第二课堂系统的使用。</w:t>
      </w:r>
    </w:p>
    <w:p w14:paraId="5E6D0943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  <w:t>4.物品管理</w:t>
      </w:r>
    </w:p>
    <w:p w14:paraId="428C321A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实现各部门老师申请校团委部门内部物品以及公章的借还管理纪录。</w:t>
      </w:r>
    </w:p>
    <w:p w14:paraId="11D69BAC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  <w:t>5.投票管理</w:t>
      </w:r>
    </w:p>
    <w:p w14:paraId="0BCA31AA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实现对优秀教师、活动评选等场景的在线投票；对结果进行公示，保障投票公平、公正；可设置投票数、人员限制。</w:t>
      </w:r>
    </w:p>
    <w:p w14:paraId="7D13C6CE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  <w:t>（三）社会实践管理</w:t>
      </w:r>
    </w:p>
    <w:p w14:paraId="2905AD6E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社会实践与社会工作主要评价假期社会实践活动、日常社会实践活动等实践活动。引导学生走出校门、接触社会、了解国情，使理论与实践相结合、提高思想觉悟、增强大学生服务社会意识，促进大学生健康成长。实现社会实践项目内容、主题、目的、成果的管理，建立不同级别的社会实践小组，支持社会实践项目的创建、报名、培训、过程参与、结果记录等功能，满足学校寒、暑假各类社会实践的需求。</w:t>
      </w:r>
    </w:p>
    <w:p w14:paraId="2479E7F7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  <w:t>1.实践活动</w:t>
      </w:r>
    </w:p>
    <w:p w14:paraId="4DD48761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实现发起不同级别、不同专项等类型的社会实践项目，完成实践活动审核、团队招募、过程记录、报告认定等全流程管理。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（本条为关键技术参数，必须全部满足，必须提供产品功能截图。不允许负偏离如有一项负偏离作无效标处理。）</w:t>
      </w:r>
    </w:p>
    <w:p w14:paraId="2E7B8496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  <w:t>2.实践统计</w:t>
      </w:r>
    </w:p>
    <w:p w14:paraId="1511D1C9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实现不同维度的实践活动数据统计分析，支持对各院系参与组队情况的结果导出。</w:t>
      </w:r>
    </w:p>
    <w:p w14:paraId="07EA1CDB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  <w:t>（四）社团管理</w:t>
      </w:r>
    </w:p>
    <w:p w14:paraId="42EA3781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实现学生组织（学生会、社团、广播站等）的高效管理，更好地激发成员的积极性和创造力，提高社团的凝聚力和执行力。充分发挥学生社团育人功能，支持高校学生社团健康有序发展。展示组织成员、负责人、指导老师、指导单位等基础信息；实现组织申请、纳新、换届、注册、年审、评优等流程化管理；支持组织活动的创建审核、过程参与、结果认定。</w:t>
      </w:r>
    </w:p>
    <w:p w14:paraId="5CE58AB6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  <w:t>1.组织创建</w:t>
      </w:r>
    </w:p>
    <w:p w14:paraId="397C0C31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支持学生组织的新建，采取线下申请线上录入的操作，快速创建各级学生组织，对学生组织的类别进行限定，便于学校对不同学生组织的管理。</w:t>
      </w:r>
    </w:p>
    <w:p w14:paraId="4192602D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  <w:t>2.换届管理</w:t>
      </w:r>
    </w:p>
    <w:p w14:paraId="1B0AC5C3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支持组织内部进行换届操作，可以选择留任、离岗，由指导老师审批后形成最终换届结果。</w:t>
      </w:r>
    </w:p>
    <w:p w14:paraId="5755047A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  <w:t>3.组织注册</w:t>
      </w:r>
    </w:p>
    <w:p w14:paraId="6E2B20FA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组织负责人提交注册信息后，经由审批后可完成组织注册。</w:t>
      </w:r>
    </w:p>
    <w:p w14:paraId="07B1A113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  <w:t>4.组织年审</w:t>
      </w:r>
    </w:p>
    <w:p w14:paraId="50B48E6C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组织负责人提交年审信息后，经由审批后可完成组织年审。</w:t>
      </w:r>
    </w:p>
    <w:p w14:paraId="4B2E1CD4">
      <w:pPr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lang w:val="en-US" w:eastAsia="zh-CN"/>
        </w:rPr>
        <w:t>5.组织评优</w:t>
      </w:r>
    </w:p>
    <w:p w14:paraId="6BF4AED6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组织评优包括组织和个人评优，组织负责人或成员提交评优信息后，经由审批后可完成组织评优。</w:t>
      </w:r>
    </w:p>
    <w:p w14:paraId="4FF3C217">
      <w:pPr>
        <w:pStyle w:val="3"/>
        <w:bidi w:val="0"/>
        <w:spacing w:line="240" w:lineRule="auto"/>
        <w:rPr>
          <w:rFonts w:hint="eastAsia" w:ascii="宋体" w:hAnsi="宋体" w:eastAsia="宋体" w:cs="宋体"/>
          <w:color w:val="auto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1"/>
          <w:lang w:val="en-US" w:eastAsia="zh-CN"/>
        </w:rPr>
        <w:t>二、技术要求</w:t>
      </w:r>
    </w:p>
    <w:p w14:paraId="6D776E5C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1.本次开发要求采用先进的J2EE主流技术平台产品，支持跨平台，操作系统采用Linux；系统前端采用VUE进行开发，后台管理平台采用java开发，数据库采用MYSQL存储，平台数据通信使用基于TOKEN的AES加密。</w:t>
      </w:r>
    </w:p>
    <w:p w14:paraId="05AB541F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2.系统整体设计采用B/S方式进行整体架构，客户端完全兼容各类主流浏览器。</w:t>
      </w:r>
    </w:p>
    <w:p w14:paraId="2254BBCD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3.提供良好的使用便捷性，具有易用性和数据业务使用便捷性的特点，用户体验感强。</w:t>
      </w:r>
    </w:p>
    <w:p w14:paraId="10A358F9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4.系统采用模块化设计编码，当局部功能出现问题，系统自动通过简单隔离操作保证系统整体的可用性。</w:t>
      </w:r>
    </w:p>
    <w:p w14:paraId="53E52C2B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5.系统处理能力主要考虑系统能承载的最大并发用户数，系统应满足全校师生的高并发访问需求，并发用户≥10000，峰值查询响应在3s之内，复杂查询响应在3s以内，业务峰值响应在3s以内（不考虑网络延迟）。</w:t>
      </w:r>
    </w:p>
    <w:p w14:paraId="005B3AAD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6.支持不停机升级维护，系统应能够7×24小时不间断运行。</w:t>
      </w:r>
    </w:p>
    <w:p w14:paraId="41E09252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7.要求基于H5微服务的轻应用，可支持接入学校智慧校园平台实现统一身份认证，对接时任何一方软件厂商不得收取任何费用。（提供软件制造商的免费对接承诺函并加盖公章）。</w:t>
      </w:r>
    </w:p>
    <w:p w14:paraId="525EA136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8.根据“教育部办公厅国家互联网信息办公室秘书局关于印发《“易班”推广行动计划和中国大学生在线引领工程实施方案的通知（教思政厅函〔2014〕42号”文件）》等文件的要求，学校建设有易班管理系统，供应商所投产品须与易班管理系统进行无缝数据对接、共享、互通互融。（响应文件中须提供易班授权期限内（可在易班官网查询到证书）的有效证书复印件，不满足的视为响应无效）。</w:t>
      </w:r>
    </w:p>
    <w:p w14:paraId="4BA809AF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9.历史数据迁移：供应商承诺将已有系统的大量历史数据迁移到新系统中，确保迁移数据不缺漏；新旧系统更替使用与转换过程中，能够平顺过渡，不影响学校各项管理工作。（响应文件中提供对接承诺函。承诺函格式自拟，需包含上述要求，不满足的视为响应无效）。</w:t>
      </w:r>
    </w:p>
    <w:p w14:paraId="10801769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10.支持与安徽团省委管理平台数据对接，包括但不限于第二课堂、社会实践等数据的互联互通。（响应文件中提供免费对接承诺函。承诺函格式自拟，需包含上述要求，不满足的视为响应无效）。</w:t>
      </w:r>
    </w:p>
    <w:p w14:paraId="5F1845FA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11.合同签订后7个工作日内完成软、硬件系统搭建并交付。中标方在正式签订采购合同前，到采购单位按投标文件中所有功能进行真实环境演示，如有虚假应标，将作废标处理并报监管部门严肃查处。</w:t>
      </w:r>
    </w:p>
    <w:p w14:paraId="1820CAFD">
      <w:pPr>
        <w:pStyle w:val="3"/>
        <w:bidi w:val="0"/>
        <w:spacing w:line="240" w:lineRule="auto"/>
        <w:rPr>
          <w:rFonts w:hint="eastAsia" w:ascii="宋体" w:hAnsi="宋体" w:eastAsia="宋体" w:cs="宋体"/>
          <w:color w:val="auto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1"/>
          <w:lang w:val="en-US" w:eastAsia="zh-CN"/>
        </w:rPr>
        <w:t>三、采购需求</w:t>
      </w:r>
    </w:p>
    <w:p w14:paraId="25DB7382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1、付款方式：</w:t>
      </w:r>
      <w:r>
        <w:rPr>
          <w:rFonts w:ascii="宋体" w:hAnsi="宋体" w:eastAsia="宋体" w:cs="宋体"/>
          <w:sz w:val="24"/>
          <w:szCs w:val="24"/>
        </w:rPr>
        <w:t>每年服务期结束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验收合格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后一个月内一次性付款至100%。</w:t>
      </w:r>
    </w:p>
    <w:p w14:paraId="1E511058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2、服务地点：蚌埠学院，采购人指定地点。</w:t>
      </w:r>
    </w:p>
    <w:p w14:paraId="792293BE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3、服务期限及供货期限：服务期 3年，采取 1+1+1 模式，经双方同意可续签，续签次数最多不超过两次。</w:t>
      </w:r>
    </w:p>
    <w:p w14:paraId="75A4F412">
      <w:pPr>
        <w:pStyle w:val="3"/>
        <w:bidi w:val="0"/>
        <w:spacing w:line="240" w:lineRule="auto"/>
        <w:rPr>
          <w:rFonts w:hint="default" w:ascii="宋体" w:hAnsi="宋体" w:eastAsia="宋体" w:cs="宋体"/>
          <w:color w:val="auto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1"/>
          <w:lang w:val="en-US" w:eastAsia="zh-CN"/>
        </w:rPr>
        <w:t>四、服务要求</w:t>
      </w:r>
    </w:p>
    <w:p w14:paraId="66B90210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、供应商必须保证所供货物是全新、未使用过的合格产品（所有产品需符合国家相关质量标准要求，保证所提供的货物经正确安装、调试、保养后，在其质保期内具有满意的效果。</w:t>
      </w:r>
    </w:p>
    <w:p w14:paraId="59594311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、中标供应商在安装、调试前须提供与所供货物一致的操作指南、产品说明书、产品合格证书、维修手册、售后服务指南等必要的随机文件。</w:t>
      </w:r>
    </w:p>
    <w:p w14:paraId="6988067C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、质保期：验收合格后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年。</w:t>
      </w:r>
    </w:p>
    <w:p w14:paraId="23D08A0E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、服务要求：中标人应提供7×24小时通讯服务；产品如出现故障，中标人应在1小时内做出响应，4小时内到达采购人指定的地点对故障产品进行维护、维修，24小时内解决问题。</w:t>
      </w:r>
    </w:p>
    <w:p w14:paraId="58404496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、培训：供应商应免费提供相关培训，围绕培训对象、培训目标、培训流程、培训时间、结业考核等制定合理、有效的培训计划，包括但不限于系统的基本原理、操作使用、安全措施等内容。服务期内每年免费提供不少于2场系统培训</w:t>
      </w:r>
      <w:r>
        <w:rPr>
          <w:rFonts w:hint="eastAsia" w:ascii="宋体" w:hAnsi="宋体" w:eastAsia="宋体" w:cs="宋体"/>
          <w:color w:val="auto"/>
          <w:sz w:val="24"/>
          <w:szCs w:val="28"/>
          <w:lang w:eastAsia="zh-CN"/>
        </w:rPr>
        <w:t>。</w:t>
      </w:r>
    </w:p>
    <w:p w14:paraId="21744FD6">
      <w:pPr>
        <w:bidi w:val="0"/>
        <w:spacing w:line="360" w:lineRule="auto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、供应商须保证在本项目中交付的任何产品，不会产生因第三方提出侵犯其专利权、商标权或其它知识产权而引起的法律和经济纠纷，如因专利权、商标权或其它知识产权而引起法律和经济纠纷，由供应商承担一切责任。</w:t>
      </w:r>
    </w:p>
    <w:p w14:paraId="0CC05F64">
      <w:pPr>
        <w:rPr>
          <w:color w:val="auto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B012D2"/>
    <w:rsid w:val="227B08DB"/>
    <w:rsid w:val="461903BE"/>
    <w:rsid w:val="FCB0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3573</Words>
  <Characters>3652</Characters>
  <Lines>0</Lines>
  <Paragraphs>0</Paragraphs>
  <TotalTime>12</TotalTime>
  <ScaleCrop>false</ScaleCrop>
  <LinksUpToDate>false</LinksUpToDate>
  <CharactersWithSpaces>3656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2025-03-04T16:10:00Z</dcterms:created>
  <dc:creator>赵海静</dc:creator>
  <cp:lastModifiedBy>seven</cp:lastModifiedBy>
  <dcterms:modified xsi:type="dcterms:W3CDTF">2025-03-05T03:41:58Z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D8609DBCD00A429CB04A75562AB15935_13</vt:lpwstr>
  </property>
  <property fmtid="{D5CDD505-2E9C-101B-9397-08002B2CF9AE}" pid="4" name="KSOTemplateDocerSaveRecord">
    <vt:lpwstr>eyJoZGlkIjoiYzlmMjMyZDc0YTE1MzJjMzhkYzUyMThjZTk0MjUwNzQiLCJ1c2VySWQiOiI1NTk2Mjk4NjAifQ==</vt:lpwstr>
  </property>
</Properties>
</file>